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22BD9C7">
      <w:pPr>
        <w:tabs>
          <w:tab w:val="left" w:pos="195"/>
        </w:tabs>
        <w:spacing w:line="500" w:lineRule="exact"/>
        <w:jc w:val="center"/>
        <w:rPr>
          <w:rFonts w:hint="default" w:eastAsia="宋体"/>
          <w:bCs/>
          <w:sz w:val="24"/>
          <w:lang w:val="en-US" w:eastAsia="zh-CN"/>
        </w:rPr>
      </w:pPr>
      <w:bookmarkStart w:id="0" w:name="_Hlk282766308"/>
      <w:r>
        <w:rPr>
          <w:kern w:val="0"/>
          <w:sz w:val="24"/>
        </w:rPr>
        <w:t>证券代码：</w:t>
      </w:r>
      <w:r>
        <w:rPr>
          <w:rFonts w:hint="default" w:ascii="Times New Roman" w:hAnsi="Times New Roman" w:cs="Times New Roman"/>
          <w:kern w:val="0"/>
          <w:sz w:val="24"/>
        </w:rPr>
        <w:t>300238</w:t>
      </w:r>
      <w:r>
        <w:rPr>
          <w:kern w:val="0"/>
          <w:sz w:val="24"/>
        </w:rPr>
        <w:t xml:space="preserve">         证券简称：冠昊生物         公告编号：</w:t>
      </w:r>
      <w:r>
        <w:rPr>
          <w:rFonts w:hint="default" w:ascii="Times New Roman" w:hAnsi="Times New Roman" w:cs="Times New Roman"/>
          <w:kern w:val="0"/>
          <w:sz w:val="24"/>
          <w:highlight w:val="none"/>
        </w:rPr>
        <w:t>202</w:t>
      </w:r>
      <w:r>
        <w:rPr>
          <w:rFonts w:hint="default" w:ascii="Times New Roman" w:hAnsi="Times New Roman" w:cs="Times New Roman"/>
          <w:kern w:val="0"/>
          <w:sz w:val="24"/>
          <w:highlight w:val="none"/>
          <w:lang w:val="en-US" w:eastAsia="zh-CN"/>
        </w:rPr>
        <w:t>5</w:t>
      </w:r>
      <w:r>
        <w:rPr>
          <w:kern w:val="0"/>
          <w:sz w:val="24"/>
          <w:highlight w:val="none"/>
        </w:rPr>
        <w:t>-</w:t>
      </w:r>
      <w:r>
        <w:rPr>
          <w:rFonts w:hint="default" w:ascii="Times New Roman" w:hAnsi="Times New Roman" w:cs="Times New Roman"/>
          <w:kern w:val="0"/>
          <w:sz w:val="24"/>
          <w:highlight w:val="none"/>
        </w:rPr>
        <w:t>0</w:t>
      </w:r>
      <w:r>
        <w:rPr>
          <w:rFonts w:hint="default" w:ascii="Times New Roman" w:hAnsi="Times New Roman" w:cs="Times New Roman"/>
          <w:kern w:val="0"/>
          <w:sz w:val="24"/>
          <w:highlight w:val="none"/>
          <w:lang w:val="en-US" w:eastAsia="zh-CN"/>
        </w:rPr>
        <w:t>3</w:t>
      </w:r>
      <w:r>
        <w:rPr>
          <w:rFonts w:hint="eastAsia" w:cs="Times New Roman"/>
          <w:kern w:val="0"/>
          <w:sz w:val="24"/>
          <w:highlight w:val="none"/>
          <w:lang w:val="en-US" w:eastAsia="zh-CN"/>
        </w:rPr>
        <w:t>9</w:t>
      </w:r>
    </w:p>
    <w:p w14:paraId="59634D18">
      <w:pPr>
        <w:tabs>
          <w:tab w:val="left" w:pos="195"/>
        </w:tabs>
        <w:spacing w:before="468" w:beforeLines="150" w:line="500" w:lineRule="exact"/>
        <w:jc w:val="center"/>
        <w:rPr>
          <w:rFonts w:hint="eastAsia" w:ascii="黑体" w:hAnsi="黑体" w:eastAsia="黑体"/>
          <w:bCs/>
          <w:sz w:val="30"/>
          <w:szCs w:val="30"/>
        </w:rPr>
      </w:pPr>
      <w:r>
        <w:rPr>
          <w:rFonts w:hint="eastAsia" w:ascii="黑体" w:hAnsi="黑体" w:eastAsia="黑体"/>
          <w:bCs/>
          <w:sz w:val="30"/>
          <w:szCs w:val="30"/>
        </w:rPr>
        <w:t>冠昊生物科技股份有限公司</w:t>
      </w:r>
      <w:bookmarkEnd w:id="0"/>
    </w:p>
    <w:p w14:paraId="098715EB">
      <w:pPr>
        <w:tabs>
          <w:tab w:val="left" w:pos="195"/>
        </w:tabs>
        <w:spacing w:before="156" w:beforeLines="50" w:after="468" w:afterLines="150" w:line="500" w:lineRule="exact"/>
        <w:jc w:val="center"/>
        <w:rPr>
          <w:rFonts w:ascii="宋体" w:cs="宋体"/>
          <w:kern w:val="0"/>
          <w:sz w:val="24"/>
        </w:rPr>
      </w:pPr>
      <w:r>
        <w:rPr>
          <w:rFonts w:hint="eastAsia" w:ascii="黑体" w:hAnsi="黑体" w:eastAsia="黑体"/>
          <w:bCs/>
          <w:sz w:val="30"/>
          <w:szCs w:val="30"/>
        </w:rPr>
        <w:t>关于</w:t>
      </w:r>
      <w:r>
        <w:rPr>
          <w:rFonts w:hint="eastAsia" w:ascii="黑体" w:hAnsi="黑体" w:eastAsia="黑体"/>
          <w:bCs/>
          <w:sz w:val="30"/>
          <w:szCs w:val="30"/>
          <w:lang w:val="en-US" w:eastAsia="zh-CN"/>
        </w:rPr>
        <w:t>修订《公司章程》及部分治理制度的</w:t>
      </w:r>
      <w:r>
        <w:rPr>
          <w:rFonts w:hint="eastAsia" w:ascii="黑体" w:hAnsi="黑体" w:eastAsia="黑体"/>
          <w:bCs/>
          <w:sz w:val="30"/>
          <w:szCs w:val="30"/>
        </w:rPr>
        <w:t>公告</w:t>
      </w:r>
    </w:p>
    <w:tbl>
      <w:tblPr>
        <w:tblStyle w:val="1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14:paraId="0A38B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8460" w:type="dxa"/>
            <w:noWrap w:val="0"/>
            <w:vAlign w:val="top"/>
          </w:tcPr>
          <w:p w14:paraId="0FFF0168">
            <w:pPr>
              <w:autoSpaceDE w:val="0"/>
              <w:autoSpaceDN w:val="0"/>
              <w:adjustRightInd w:val="0"/>
              <w:spacing w:line="500" w:lineRule="exact"/>
              <w:ind w:firstLine="480" w:firstLineChars="200"/>
              <w:jc w:val="left"/>
              <w:rPr>
                <w:rFonts w:hint="eastAsia" w:ascii="宋体" w:cs="宋体"/>
                <w:kern w:val="0"/>
                <w:sz w:val="24"/>
              </w:rPr>
            </w:pPr>
            <w:r>
              <w:rPr>
                <w:rFonts w:hint="eastAsia" w:ascii="宋体" w:cs="宋体"/>
                <w:kern w:val="0"/>
                <w:sz w:val="24"/>
              </w:rPr>
              <w:t>本公司及董事会全体人员保证信息披露的内容真实、准确和完整，没有虚假记载、误导性陈述或者重大遗漏。</w:t>
            </w:r>
          </w:p>
        </w:tc>
      </w:tr>
    </w:tbl>
    <w:p w14:paraId="47E35B71">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before="156" w:beforeLines="50" w:after="157" w:afterLines="50" w:line="500" w:lineRule="exact"/>
        <w:ind w:left="0" w:leftChars="0" w:firstLine="480" w:firstLineChars="200"/>
        <w:jc w:val="left"/>
        <w:textAlignment w:val="auto"/>
        <w:rPr>
          <w:rFonts w:hint="eastAsia"/>
          <w:b/>
          <w:sz w:val="24"/>
        </w:rPr>
      </w:pPr>
      <w:r>
        <w:rPr>
          <w:rFonts w:hint="eastAsia" w:ascii="宋体" w:hAnsi="宋体" w:cs="ËÎÌå"/>
          <w:kern w:val="0"/>
          <w:sz w:val="24"/>
        </w:rPr>
        <w:t>冠昊生物科技股份有限公司（以下简称“公司”）</w:t>
      </w:r>
      <w:r>
        <w:rPr>
          <w:rFonts w:hint="eastAsia" w:ascii="宋体" w:hAnsi="宋体" w:cs="ËÎÌå"/>
          <w:kern w:val="0"/>
          <w:sz w:val="24"/>
          <w:highlight w:val="none"/>
          <w:lang w:val="en-US" w:eastAsia="zh-CN"/>
        </w:rPr>
        <w:t>于</w:t>
      </w:r>
      <w:r>
        <w:rPr>
          <w:rFonts w:hint="default" w:ascii="Times New Roman" w:hAnsi="Times New Roman" w:cs="Times New Roman"/>
          <w:kern w:val="0"/>
          <w:sz w:val="24"/>
          <w:highlight w:val="none"/>
        </w:rPr>
        <w:t>2025年</w:t>
      </w:r>
      <w:r>
        <w:rPr>
          <w:rFonts w:hint="default" w:ascii="Times New Roman" w:hAnsi="Times New Roman" w:cs="Times New Roman"/>
          <w:kern w:val="0"/>
          <w:sz w:val="24"/>
          <w:highlight w:val="none"/>
          <w:lang w:val="en-US" w:eastAsia="zh-CN"/>
        </w:rPr>
        <w:t>6</w:t>
      </w:r>
      <w:r>
        <w:rPr>
          <w:rFonts w:hint="default" w:ascii="Times New Roman" w:hAnsi="Times New Roman" w:cs="Times New Roman"/>
          <w:kern w:val="0"/>
          <w:sz w:val="24"/>
          <w:highlight w:val="none"/>
        </w:rPr>
        <w:t>月</w:t>
      </w:r>
      <w:r>
        <w:rPr>
          <w:rFonts w:hint="eastAsia" w:cs="Times New Roman"/>
          <w:kern w:val="0"/>
          <w:sz w:val="24"/>
          <w:highlight w:val="none"/>
          <w:lang w:val="en-US" w:eastAsia="zh-CN"/>
        </w:rPr>
        <w:t>6</w:t>
      </w:r>
      <w:r>
        <w:rPr>
          <w:rFonts w:hint="default" w:ascii="Times New Roman" w:hAnsi="Times New Roman" w:cs="Times New Roman"/>
          <w:kern w:val="0"/>
          <w:sz w:val="24"/>
          <w:highlight w:val="none"/>
        </w:rPr>
        <w:t>日</w:t>
      </w:r>
      <w:r>
        <w:rPr>
          <w:rFonts w:hint="eastAsia" w:ascii="宋体" w:hAnsi="宋体" w:cs="ËÎÌå"/>
          <w:kern w:val="0"/>
          <w:sz w:val="24"/>
        </w:rPr>
        <w:t>召开公司第</w:t>
      </w:r>
      <w:r>
        <w:rPr>
          <w:rFonts w:hint="eastAsia" w:ascii="宋体" w:hAnsi="宋体" w:cs="ËÎÌå"/>
          <w:kern w:val="0"/>
          <w:sz w:val="24"/>
          <w:lang w:val="en-US" w:eastAsia="zh-CN"/>
        </w:rPr>
        <w:t>六</w:t>
      </w:r>
      <w:r>
        <w:rPr>
          <w:rFonts w:hint="eastAsia" w:ascii="宋体" w:hAnsi="宋体" w:cs="ËÎÌå"/>
          <w:kern w:val="0"/>
          <w:sz w:val="24"/>
        </w:rPr>
        <w:t>届董事会第十</w:t>
      </w:r>
      <w:r>
        <w:rPr>
          <w:rFonts w:hint="eastAsia" w:ascii="宋体" w:hAnsi="宋体" w:cs="ËÎÌå"/>
          <w:kern w:val="0"/>
          <w:sz w:val="24"/>
          <w:lang w:val="en-US" w:eastAsia="zh-CN"/>
        </w:rPr>
        <w:t>四</w:t>
      </w:r>
      <w:r>
        <w:rPr>
          <w:rFonts w:hint="eastAsia" w:ascii="宋体" w:hAnsi="宋体" w:cs="ËÎÌå"/>
          <w:kern w:val="0"/>
          <w:sz w:val="24"/>
        </w:rPr>
        <w:t>次会议，审议通过了《</w:t>
      </w:r>
      <w:r>
        <w:rPr>
          <w:rFonts w:hint="eastAsia" w:ascii="宋体" w:hAnsi="宋体" w:cs="ËÎÌå"/>
          <w:kern w:val="0"/>
          <w:sz w:val="24"/>
          <w:lang w:val="en-US" w:eastAsia="zh-CN"/>
        </w:rPr>
        <w:t>关于</w:t>
      </w:r>
      <w:r>
        <w:rPr>
          <w:rFonts w:hint="eastAsia" w:ascii="宋体" w:hAnsi="宋体" w:cs="ËÎÌå"/>
          <w:kern w:val="0"/>
          <w:sz w:val="24"/>
        </w:rPr>
        <w:t>修订&lt;公司章程&gt;及其附件的议案》和《关于修订公司部分治理制度的议案》</w:t>
      </w:r>
      <w:r>
        <w:rPr>
          <w:rFonts w:hint="eastAsia" w:ascii="宋体" w:hAnsi="宋体" w:cs="ËÎÌå"/>
          <w:kern w:val="0"/>
          <w:sz w:val="24"/>
          <w:lang w:val="en-US" w:eastAsia="zh-CN"/>
        </w:rPr>
        <w:t>等</w:t>
      </w:r>
      <w:r>
        <w:rPr>
          <w:rFonts w:hint="eastAsia" w:ascii="宋体" w:hAnsi="宋体" w:cs="ËÎÌå"/>
          <w:kern w:val="0"/>
          <w:sz w:val="24"/>
          <w:lang w:eastAsia="zh-CN"/>
        </w:rPr>
        <w:t>，</w:t>
      </w:r>
      <w:r>
        <w:rPr>
          <w:rFonts w:hint="eastAsia" w:ascii="宋体" w:hAnsi="宋体" w:cs="ËÎÌå"/>
          <w:kern w:val="0"/>
          <w:sz w:val="24"/>
        </w:rPr>
        <w:t>现将相关事项公告如下：</w:t>
      </w:r>
    </w:p>
    <w:p w14:paraId="2BC031A3">
      <w:pPr>
        <w:keepNext w:val="0"/>
        <w:keepLines w:val="0"/>
        <w:pageBreakBefore w:val="0"/>
        <w:widowControl w:val="0"/>
        <w:numPr>
          <w:ilvl w:val="0"/>
          <w:numId w:val="1"/>
        </w:numPr>
        <w:tabs>
          <w:tab w:val="left" w:pos="993"/>
        </w:tabs>
        <w:kinsoku/>
        <w:wordWrap/>
        <w:overflowPunct/>
        <w:topLinePunct w:val="0"/>
        <w:autoSpaceDE w:val="0"/>
        <w:autoSpaceDN w:val="0"/>
        <w:bidi w:val="0"/>
        <w:adjustRightInd w:val="0"/>
        <w:snapToGrid/>
        <w:spacing w:before="157" w:beforeLines="50" w:after="157" w:afterLines="50" w:line="500" w:lineRule="exact"/>
        <w:ind w:left="0" w:leftChars="0" w:firstLine="420" w:firstLineChars="0"/>
        <w:jc w:val="left"/>
        <w:textAlignment w:val="auto"/>
        <w:rPr>
          <w:rFonts w:hint="eastAsia"/>
          <w:b/>
          <w:sz w:val="24"/>
        </w:rPr>
      </w:pPr>
      <w:r>
        <w:rPr>
          <w:rFonts w:hint="eastAsia"/>
          <w:b/>
          <w:sz w:val="24"/>
        </w:rPr>
        <w:t>关于修订《公司章程》及其附件的情况</w:t>
      </w:r>
    </w:p>
    <w:p w14:paraId="5355AFF5">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before="157" w:beforeLines="50" w:after="157" w:afterLines="50" w:line="500" w:lineRule="exact"/>
        <w:ind w:firstLine="480" w:firstLineChars="200"/>
        <w:jc w:val="left"/>
        <w:textAlignment w:val="auto"/>
        <w:rPr>
          <w:rFonts w:hint="eastAsia" w:eastAsia="宋体"/>
          <w:b w:val="0"/>
          <w:bCs/>
          <w:sz w:val="24"/>
          <w:lang w:eastAsia="zh-CN"/>
        </w:rPr>
      </w:pPr>
      <w:r>
        <w:rPr>
          <w:rFonts w:hint="eastAsia"/>
          <w:b w:val="0"/>
          <w:bCs/>
          <w:sz w:val="24"/>
        </w:rPr>
        <w:t>根据《公司法》《上市公司章程指引》《深圳证券交易所创业板股票上市规则》《深圳证券交易所上市公司自律监管指引第</w:t>
      </w:r>
      <w:r>
        <w:rPr>
          <w:rFonts w:hint="default" w:ascii="Times New Roman" w:hAnsi="Times New Roman" w:cs="Times New Roman"/>
          <w:b w:val="0"/>
          <w:bCs/>
          <w:sz w:val="24"/>
        </w:rPr>
        <w:t>2</w:t>
      </w:r>
      <w:r>
        <w:rPr>
          <w:rFonts w:hint="eastAsia"/>
          <w:b w:val="0"/>
          <w:bCs/>
          <w:sz w:val="24"/>
        </w:rPr>
        <w:t>号——创业板上市公司规范运作》等法律法规、规范性文件的</w:t>
      </w:r>
      <w:r>
        <w:rPr>
          <w:rFonts w:hint="eastAsia"/>
          <w:b w:val="0"/>
          <w:bCs/>
          <w:sz w:val="24"/>
          <w:lang w:val="en-US" w:eastAsia="zh-CN"/>
        </w:rPr>
        <w:t>有关规定</w:t>
      </w:r>
      <w:r>
        <w:rPr>
          <w:rFonts w:hint="eastAsia"/>
          <w:b w:val="0"/>
          <w:bCs/>
          <w:sz w:val="24"/>
        </w:rPr>
        <w:t>，公司</w:t>
      </w:r>
      <w:r>
        <w:rPr>
          <w:rFonts w:hint="eastAsia"/>
          <w:b w:val="0"/>
          <w:bCs/>
          <w:sz w:val="24"/>
          <w:lang w:val="en-US" w:eastAsia="zh-CN"/>
        </w:rPr>
        <w:t>拟</w:t>
      </w:r>
      <w:r>
        <w:rPr>
          <w:rFonts w:hint="eastAsia"/>
          <w:b w:val="0"/>
          <w:bCs/>
          <w:sz w:val="24"/>
        </w:rPr>
        <w:t>对现行《公司章程》及其附件（《股东会议事规则》和《董事会议事规则》）的部分条款进行修订和完善。《公司章程》的具体修订内容对照如下</w:t>
      </w:r>
      <w:r>
        <w:rPr>
          <w:rFonts w:hint="eastAsia"/>
          <w:b w:val="0"/>
          <w:bCs/>
          <w:sz w:val="24"/>
          <w:lang w:eastAsia="zh-CN"/>
        </w:rPr>
        <w:t>：</w:t>
      </w:r>
    </w:p>
    <w:tbl>
      <w:tblPr>
        <w:tblStyle w:val="11"/>
        <w:tblW w:w="8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3587"/>
        <w:gridCol w:w="4335"/>
      </w:tblGrid>
      <w:tr w14:paraId="5C12F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4289" w:type="dxa"/>
            <w:gridSpan w:val="2"/>
            <w:tcBorders>
              <w:top w:val="single" w:color="000000" w:sz="12" w:space="0"/>
              <w:left w:val="single" w:color="000000" w:sz="12" w:space="0"/>
              <w:bottom w:val="single" w:color="auto" w:sz="2" w:space="0"/>
              <w:right w:val="single" w:color="000000" w:sz="4" w:space="0"/>
              <w:tl2br w:val="nil"/>
            </w:tcBorders>
            <w:shd w:val="clear" w:color="auto" w:fill="FFFFFF"/>
            <w:vAlign w:val="center"/>
          </w:tcPr>
          <w:p w14:paraId="12FA3E79">
            <w:pPr>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hint="eastAsia" w:eastAsia="宋体"/>
                <w:b/>
                <w:bCs/>
                <w:color w:val="000000"/>
                <w:sz w:val="21"/>
                <w:szCs w:val="21"/>
                <w:lang w:eastAsia="zh-CN"/>
              </w:rPr>
            </w:pPr>
            <w:r>
              <w:rPr>
                <w:rFonts w:hint="eastAsia"/>
                <w:b/>
                <w:bCs/>
                <w:color w:val="000000"/>
                <w:sz w:val="21"/>
                <w:szCs w:val="21"/>
                <w:lang w:val="en-US" w:eastAsia="zh-CN"/>
              </w:rPr>
              <w:t>修订前（2024年3月）</w:t>
            </w:r>
          </w:p>
        </w:tc>
        <w:tc>
          <w:tcPr>
            <w:tcW w:w="4335" w:type="dxa"/>
            <w:tcBorders>
              <w:top w:val="single" w:color="000000" w:sz="12" w:space="0"/>
              <w:left w:val="single" w:color="000000" w:sz="4" w:space="0"/>
              <w:bottom w:val="single" w:color="auto" w:sz="2" w:space="0"/>
              <w:right w:val="single" w:color="000000" w:sz="12" w:space="0"/>
            </w:tcBorders>
            <w:shd w:val="clear" w:color="auto" w:fill="FFFFFF"/>
            <w:vAlign w:val="center"/>
          </w:tcPr>
          <w:p w14:paraId="43C440DB">
            <w:pPr>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hint="eastAsia" w:eastAsia="宋体"/>
                <w:b/>
                <w:bCs/>
                <w:color w:val="000000"/>
                <w:sz w:val="21"/>
                <w:szCs w:val="21"/>
                <w:lang w:eastAsia="zh-CN"/>
              </w:rPr>
            </w:pPr>
            <w:r>
              <w:rPr>
                <w:rFonts w:hint="eastAsia"/>
                <w:b/>
                <w:bCs/>
                <w:color w:val="000000"/>
                <w:sz w:val="21"/>
                <w:szCs w:val="21"/>
              </w:rPr>
              <w:t>修订后</w:t>
            </w:r>
            <w:r>
              <w:rPr>
                <w:rFonts w:hint="eastAsia"/>
                <w:b/>
                <w:bCs/>
                <w:color w:val="000000"/>
                <w:sz w:val="21"/>
                <w:szCs w:val="21"/>
                <w:lang w:eastAsia="zh-CN"/>
              </w:rPr>
              <w:t>（</w:t>
            </w:r>
            <w:r>
              <w:rPr>
                <w:rFonts w:hint="eastAsia"/>
                <w:b/>
                <w:bCs/>
                <w:color w:val="000000"/>
                <w:sz w:val="21"/>
                <w:szCs w:val="21"/>
                <w:lang w:val="en-US" w:eastAsia="zh-CN"/>
              </w:rPr>
              <w:t>2025年6月</w:t>
            </w:r>
            <w:r>
              <w:rPr>
                <w:rFonts w:hint="eastAsia"/>
                <w:b/>
                <w:bCs/>
                <w:color w:val="000000"/>
                <w:sz w:val="21"/>
                <w:szCs w:val="21"/>
                <w:lang w:eastAsia="zh-CN"/>
              </w:rPr>
              <w:t>）</w:t>
            </w:r>
          </w:p>
        </w:tc>
      </w:tr>
      <w:tr w14:paraId="42E13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624" w:type="dxa"/>
            <w:gridSpan w:val="3"/>
            <w:tcBorders>
              <w:top w:val="single" w:color="auto" w:sz="2" w:space="0"/>
              <w:left w:val="single" w:color="000000" w:sz="12" w:space="0"/>
              <w:bottom w:val="single" w:color="000000" w:sz="4" w:space="0"/>
              <w:right w:val="single" w:color="000000" w:sz="12" w:space="0"/>
              <w:tl2br w:val="nil"/>
            </w:tcBorders>
            <w:shd w:val="clear" w:color="auto" w:fill="FFFFFF"/>
            <w:vAlign w:val="center"/>
          </w:tcPr>
          <w:p w14:paraId="6A6ADA0F">
            <w:pPr>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hint="eastAsia"/>
                <w:b w:val="0"/>
                <w:color w:val="000000"/>
                <w:sz w:val="21"/>
                <w:szCs w:val="21"/>
              </w:rPr>
            </w:pPr>
            <w:bookmarkStart w:id="1" w:name="_Toc6321078"/>
            <w:r>
              <w:rPr>
                <w:rFonts w:ascii="Times New Roman" w:hAnsi="Times New Roman" w:cs="Times New Roman"/>
                <w:b/>
                <w:bCs/>
                <w:kern w:val="36"/>
                <w:sz w:val="21"/>
                <w:szCs w:val="21"/>
              </w:rPr>
              <w:t>第一章</w:t>
            </w:r>
            <w:r>
              <w:rPr>
                <w:rFonts w:hint="default" w:ascii="Times New Roman" w:hAnsi="Times New Roman" w:cs="Times New Roman"/>
                <w:b/>
                <w:bCs/>
                <w:kern w:val="36"/>
                <w:sz w:val="21"/>
                <w:szCs w:val="21"/>
                <w:lang w:val="en-US" w:eastAsia="zh-CN"/>
              </w:rPr>
              <w:t xml:space="preserve">  </w:t>
            </w:r>
            <w:r>
              <w:rPr>
                <w:rFonts w:ascii="Times New Roman" w:hAnsi="Times New Roman" w:cs="Times New Roman"/>
                <w:b/>
                <w:bCs/>
                <w:kern w:val="36"/>
                <w:sz w:val="21"/>
                <w:szCs w:val="21"/>
              </w:rPr>
              <w:t>总</w:t>
            </w:r>
            <w:r>
              <w:rPr>
                <w:rFonts w:hint="default" w:ascii="Times New Roman" w:hAnsi="Times New Roman" w:cs="Times New Roman"/>
                <w:b/>
                <w:bCs/>
                <w:kern w:val="36"/>
                <w:sz w:val="21"/>
                <w:szCs w:val="21"/>
                <w:lang w:val="en-US" w:eastAsia="zh-CN"/>
              </w:rPr>
              <w:t xml:space="preserve">  </w:t>
            </w:r>
            <w:r>
              <w:rPr>
                <w:rFonts w:ascii="Times New Roman" w:hAnsi="Times New Roman" w:cs="Times New Roman"/>
                <w:b/>
                <w:bCs/>
                <w:kern w:val="36"/>
                <w:sz w:val="21"/>
                <w:szCs w:val="21"/>
              </w:rPr>
              <w:t>则</w:t>
            </w:r>
            <w:bookmarkEnd w:id="1"/>
          </w:p>
        </w:tc>
      </w:tr>
      <w:tr w14:paraId="11891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vAlign w:val="top"/>
          </w:tcPr>
          <w:p w14:paraId="4A6CFFE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b w:val="0"/>
                <w:color w:val="000000"/>
                <w:spacing w:val="-2"/>
                <w:sz w:val="21"/>
                <w:szCs w:val="21"/>
              </w:rPr>
            </w:pPr>
            <w:r>
              <w:rPr>
                <w:rFonts w:hint="eastAsia"/>
                <w:sz w:val="21"/>
                <w:szCs w:val="21"/>
              </w:rPr>
              <w:t>第二条  公司系依照《公司法》和其他有关规定成立的股份有限公司。公司由广东冠昊生物科技有限公司整体变更发起设立，于</w:t>
            </w:r>
            <w:r>
              <w:rPr>
                <w:rFonts w:hint="default" w:ascii="Times New Roman" w:hAnsi="Times New Roman" w:cs="Times New Roman"/>
                <w:sz w:val="21"/>
                <w:szCs w:val="21"/>
              </w:rPr>
              <w:t>2008</w:t>
            </w:r>
            <w:r>
              <w:rPr>
                <w:rFonts w:hint="eastAsia"/>
                <w:sz w:val="21"/>
                <w:szCs w:val="21"/>
              </w:rPr>
              <w:t>年</w:t>
            </w:r>
            <w:r>
              <w:rPr>
                <w:rFonts w:hint="default" w:ascii="Times New Roman" w:hAnsi="Times New Roman" w:cs="Times New Roman"/>
                <w:sz w:val="21"/>
                <w:szCs w:val="21"/>
              </w:rPr>
              <w:t>6</w:t>
            </w:r>
            <w:r>
              <w:rPr>
                <w:rFonts w:hint="eastAsia"/>
                <w:sz w:val="21"/>
                <w:szCs w:val="21"/>
              </w:rPr>
              <w:t>月</w:t>
            </w:r>
            <w:r>
              <w:rPr>
                <w:rFonts w:hint="default" w:ascii="Times New Roman" w:hAnsi="Times New Roman" w:cs="Times New Roman"/>
                <w:sz w:val="21"/>
                <w:szCs w:val="21"/>
              </w:rPr>
              <w:t>11</w:t>
            </w:r>
            <w:r>
              <w:rPr>
                <w:rFonts w:hint="eastAsia"/>
                <w:sz w:val="21"/>
                <w:szCs w:val="21"/>
              </w:rPr>
              <w:t>日在广东省市场监督管理局登记，取得营业执照，</w:t>
            </w:r>
            <w:r>
              <w:rPr>
                <w:rFonts w:hint="eastAsia"/>
                <w:b/>
                <w:bCs/>
                <w:strike/>
                <w:dstrike w:val="0"/>
                <w:sz w:val="21"/>
                <w:szCs w:val="21"/>
              </w:rPr>
              <w:t>营业执照号为</w:t>
            </w:r>
            <w:r>
              <w:rPr>
                <w:rFonts w:hint="default" w:ascii="Times New Roman" w:hAnsi="Times New Roman" w:cs="Times New Roman"/>
                <w:b/>
                <w:bCs/>
                <w:strike/>
                <w:dstrike w:val="0"/>
                <w:sz w:val="21"/>
                <w:szCs w:val="21"/>
              </w:rPr>
              <w:t>440000000024725</w:t>
            </w:r>
            <w:r>
              <w:rPr>
                <w:rFonts w:hint="eastAsia"/>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vAlign w:val="top"/>
          </w:tcPr>
          <w:p w14:paraId="600BD2A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b w:val="0"/>
                <w:bCs/>
                <w:color w:val="000000"/>
                <w:spacing w:val="-4"/>
                <w:sz w:val="21"/>
                <w:szCs w:val="21"/>
              </w:rPr>
            </w:pPr>
            <w:r>
              <w:rPr>
                <w:rFonts w:hint="eastAsia"/>
                <w:sz w:val="21"/>
                <w:szCs w:val="21"/>
              </w:rPr>
              <w:t>第二条</w:t>
            </w:r>
            <w:r>
              <w:rPr>
                <w:rFonts w:hint="eastAsia"/>
                <w:sz w:val="21"/>
                <w:szCs w:val="21"/>
                <w:lang w:val="en-US" w:eastAsia="zh-CN"/>
              </w:rPr>
              <w:t xml:space="preserve">  </w:t>
            </w:r>
            <w:r>
              <w:rPr>
                <w:rFonts w:hint="eastAsia"/>
                <w:sz w:val="21"/>
                <w:szCs w:val="21"/>
              </w:rPr>
              <w:t>公司系依照《公司法》和其他有关规定成立的股份有限公司。公司由广东冠昊生物科技有限公司整体变更发起设立，于</w:t>
            </w:r>
            <w:r>
              <w:rPr>
                <w:rFonts w:hint="default" w:ascii="Times New Roman" w:hAnsi="Times New Roman" w:cs="Times New Roman"/>
                <w:sz w:val="21"/>
                <w:szCs w:val="21"/>
              </w:rPr>
              <w:t>2008</w:t>
            </w:r>
            <w:r>
              <w:rPr>
                <w:rFonts w:hint="eastAsia"/>
                <w:sz w:val="21"/>
                <w:szCs w:val="21"/>
              </w:rPr>
              <w:t>年</w:t>
            </w:r>
            <w:r>
              <w:rPr>
                <w:rFonts w:hint="default" w:ascii="Times New Roman" w:hAnsi="Times New Roman" w:cs="Times New Roman"/>
                <w:sz w:val="21"/>
                <w:szCs w:val="21"/>
              </w:rPr>
              <w:t>6</w:t>
            </w:r>
            <w:r>
              <w:rPr>
                <w:rFonts w:hint="eastAsia"/>
                <w:sz w:val="21"/>
                <w:szCs w:val="21"/>
              </w:rPr>
              <w:t>月</w:t>
            </w:r>
            <w:r>
              <w:rPr>
                <w:rFonts w:hint="default" w:ascii="Times New Roman" w:hAnsi="Times New Roman" w:cs="Times New Roman"/>
                <w:sz w:val="21"/>
                <w:szCs w:val="21"/>
              </w:rPr>
              <w:t>11</w:t>
            </w:r>
            <w:r>
              <w:rPr>
                <w:rFonts w:hint="eastAsia"/>
                <w:sz w:val="21"/>
                <w:szCs w:val="21"/>
              </w:rPr>
              <w:t>日在广东省市场监督管理局登记，取得营业执照，</w:t>
            </w:r>
            <w:r>
              <w:rPr>
                <w:rFonts w:hint="eastAsia"/>
                <w:b/>
                <w:bCs/>
                <w:color w:val="auto"/>
                <w:sz w:val="21"/>
                <w:szCs w:val="21"/>
              </w:rPr>
              <w:t>统一社会信用代码为：</w:t>
            </w:r>
            <w:r>
              <w:rPr>
                <w:rFonts w:hint="default" w:ascii="Times New Roman" w:hAnsi="Times New Roman" w:cs="Times New Roman"/>
                <w:b/>
                <w:bCs/>
                <w:color w:val="auto"/>
                <w:sz w:val="21"/>
                <w:szCs w:val="21"/>
              </w:rPr>
              <w:t>91440000707688515</w:t>
            </w:r>
            <w:r>
              <w:rPr>
                <w:rFonts w:hint="eastAsia"/>
                <w:b/>
                <w:bCs/>
                <w:color w:val="auto"/>
                <w:sz w:val="21"/>
                <w:szCs w:val="21"/>
              </w:rPr>
              <w:t>X</w:t>
            </w:r>
            <w:r>
              <w:rPr>
                <w:rFonts w:hint="eastAsia"/>
                <w:sz w:val="21"/>
                <w:szCs w:val="21"/>
              </w:rPr>
              <w:t>。</w:t>
            </w:r>
          </w:p>
        </w:tc>
      </w:tr>
      <w:tr w14:paraId="7ED23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vAlign w:val="top"/>
          </w:tcPr>
          <w:p w14:paraId="5E94B96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default" w:eastAsia="宋体"/>
                <w:b w:val="0"/>
                <w:color w:val="000000"/>
                <w:sz w:val="21"/>
                <w:szCs w:val="21"/>
                <w:lang w:val="en-US" w:eastAsia="zh-CN"/>
              </w:rPr>
            </w:pPr>
            <w:r>
              <w:rPr>
                <w:b w:val="0"/>
                <w:color w:val="000000"/>
                <w:spacing w:val="-2"/>
                <w:sz w:val="21"/>
                <w:szCs w:val="21"/>
              </w:rPr>
              <w:t>第八条</w:t>
            </w:r>
            <w:r>
              <w:rPr>
                <w:rFonts w:hint="eastAsia"/>
                <w:b w:val="0"/>
                <w:color w:val="000000"/>
                <w:spacing w:val="-2"/>
                <w:sz w:val="21"/>
                <w:szCs w:val="21"/>
                <w:lang w:val="en-US" w:eastAsia="zh-CN"/>
              </w:rPr>
              <w:t xml:space="preserve">  </w:t>
            </w:r>
            <w:r>
              <w:rPr>
                <w:rFonts w:hint="eastAsia"/>
                <w:b w:val="0"/>
                <w:color w:val="000000"/>
                <w:spacing w:val="-2"/>
                <w:sz w:val="21"/>
                <w:szCs w:val="21"/>
              </w:rPr>
              <w:t>公司董事长或总经理为公司的法定代表人</w:t>
            </w:r>
            <w:r>
              <w:rPr>
                <w:b w:val="0"/>
                <w:color w:val="000000"/>
                <w:spacing w:val="-2"/>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vAlign w:val="top"/>
          </w:tcPr>
          <w:p w14:paraId="57753C3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b/>
                <w:bCs/>
                <w:sz w:val="21"/>
                <w:szCs w:val="21"/>
              </w:rPr>
            </w:pPr>
            <w:r>
              <w:rPr>
                <w:b w:val="0"/>
                <w:color w:val="000000"/>
                <w:spacing w:val="7"/>
                <w:sz w:val="21"/>
                <w:szCs w:val="21"/>
              </w:rPr>
              <w:t>第八条</w:t>
            </w:r>
            <w:r>
              <w:rPr>
                <w:rFonts w:hint="eastAsia"/>
                <w:b w:val="0"/>
                <w:color w:val="000000"/>
                <w:spacing w:val="7"/>
                <w:sz w:val="21"/>
                <w:szCs w:val="21"/>
                <w:lang w:val="en-US" w:eastAsia="zh-CN"/>
              </w:rPr>
              <w:t xml:space="preserve">  </w:t>
            </w:r>
            <w:r>
              <w:rPr>
                <w:rFonts w:hint="eastAsia"/>
                <w:b/>
                <w:bCs/>
                <w:sz w:val="21"/>
                <w:szCs w:val="21"/>
              </w:rPr>
              <w:t>董事长为代表公司执行公司事务的董事，为公司的法定代表人。</w:t>
            </w:r>
          </w:p>
          <w:p w14:paraId="066FBE4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b/>
                <w:bCs/>
                <w:sz w:val="21"/>
                <w:szCs w:val="21"/>
              </w:rPr>
            </w:pPr>
            <w:r>
              <w:rPr>
                <w:rFonts w:hint="eastAsia"/>
                <w:b/>
                <w:bCs/>
                <w:sz w:val="21"/>
                <w:szCs w:val="21"/>
              </w:rPr>
              <w:t>董事长辞任的，视为同时辞去法定代表人。</w:t>
            </w:r>
          </w:p>
          <w:p w14:paraId="22417AF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b/>
                <w:bCs/>
                <w:sz w:val="21"/>
                <w:szCs w:val="21"/>
              </w:rPr>
            </w:pPr>
            <w:r>
              <w:rPr>
                <w:rFonts w:hint="eastAsia"/>
                <w:b/>
                <w:bCs/>
                <w:sz w:val="21"/>
                <w:szCs w:val="21"/>
              </w:rPr>
              <w:t>法定代表人辞任的，公司将在法定代表人辞任之日起30日内确定新的法定代表人。</w:t>
            </w:r>
          </w:p>
          <w:p w14:paraId="16C5F03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default"/>
                <w:b/>
                <w:bCs/>
                <w:sz w:val="21"/>
                <w:szCs w:val="21"/>
                <w:lang w:val="en-US" w:eastAsia="zh-CN"/>
              </w:rPr>
            </w:pPr>
            <w:r>
              <w:rPr>
                <w:rFonts w:hint="default"/>
                <w:b/>
                <w:bCs/>
                <w:sz w:val="21"/>
                <w:szCs w:val="21"/>
                <w:lang w:val="en-US" w:eastAsia="zh-CN"/>
              </w:rPr>
              <w:t>法定代表人的产生、变更由董事会审议确定。</w:t>
            </w:r>
          </w:p>
        </w:tc>
      </w:tr>
      <w:tr w14:paraId="4C7E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8504D0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default" w:ascii="Times New Roman" w:hAnsi="Times New Roman" w:eastAsia="宋体" w:cs="Times New Roman"/>
                <w:b w:val="0"/>
                <w:color w:val="000000"/>
                <w:sz w:val="21"/>
                <w:szCs w:val="21"/>
                <w:lang w:val="en-US" w:eastAsia="zh-CN"/>
              </w:rPr>
            </w:pPr>
            <w:r>
              <w:rPr>
                <w:rFonts w:hint="eastAsia" w:cs="Times New Roman"/>
                <w:b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547C78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b/>
                <w:bCs/>
                <w:sz w:val="21"/>
                <w:szCs w:val="21"/>
              </w:rPr>
            </w:pPr>
            <w:r>
              <w:rPr>
                <w:rFonts w:hint="eastAsia"/>
                <w:b/>
                <w:bCs/>
                <w:color w:val="000000"/>
                <w:spacing w:val="7"/>
                <w:sz w:val="21"/>
                <w:szCs w:val="21"/>
              </w:rPr>
              <w:t>第九条</w:t>
            </w:r>
            <w:r>
              <w:rPr>
                <w:rFonts w:hint="eastAsia"/>
                <w:b w:val="0"/>
                <w:bCs/>
                <w:color w:val="000000"/>
                <w:spacing w:val="7"/>
                <w:sz w:val="21"/>
                <w:szCs w:val="21"/>
              </w:rPr>
              <w:t xml:space="preserve">  </w:t>
            </w:r>
            <w:r>
              <w:rPr>
                <w:rFonts w:hint="eastAsia"/>
                <w:b/>
                <w:bCs/>
                <w:sz w:val="21"/>
                <w:szCs w:val="21"/>
              </w:rPr>
              <w:t>法定代表人以公司名义从事的民事活动，其法律后果由公司承受。</w:t>
            </w:r>
          </w:p>
          <w:p w14:paraId="1B94FB5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b/>
                <w:bCs/>
                <w:sz w:val="21"/>
                <w:szCs w:val="21"/>
              </w:rPr>
            </w:pPr>
            <w:r>
              <w:rPr>
                <w:rFonts w:hint="eastAsia"/>
                <w:b/>
                <w:bCs/>
                <w:sz w:val="21"/>
                <w:szCs w:val="21"/>
              </w:rPr>
              <w:t>本章程或者股东会对法定代表人职权的限制，不得对抗善意相对人。</w:t>
            </w:r>
          </w:p>
          <w:p w14:paraId="11E5551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cs="Times New Roman"/>
                <w:b w:val="0"/>
                <w:color w:val="000000"/>
                <w:sz w:val="21"/>
                <w:szCs w:val="21"/>
                <w:lang w:val="en-US" w:eastAsia="zh-CN"/>
              </w:rPr>
            </w:pPr>
            <w:r>
              <w:rPr>
                <w:rFonts w:hint="eastAsia"/>
                <w:b/>
                <w:bCs/>
                <w:sz w:val="21"/>
                <w:szCs w:val="21"/>
              </w:rPr>
              <w:t>法定代表人因为执行职务造成他人损害的，由公司承担民事责任。公司承担民事责任后，依照法律或者本章程的规定，可以向有过错的法定代表人追偿。</w:t>
            </w:r>
          </w:p>
        </w:tc>
      </w:tr>
      <w:tr w14:paraId="3A3C2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F16B6F3">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cs="Times New Roman"/>
                <w:b w:val="0"/>
                <w:bCs w:val="0"/>
                <w:color w:val="000000"/>
                <w:sz w:val="21"/>
                <w:szCs w:val="21"/>
                <w:lang w:val="en-US" w:eastAsia="zh-CN"/>
              </w:rPr>
            </w:pPr>
            <w:r>
              <w:rPr>
                <w:rFonts w:hint="eastAsia" w:ascii="Times New Roman" w:hAnsi="Times New Roman" w:cs="Times New Roman"/>
                <w:b w:val="0"/>
                <w:color w:val="000000"/>
                <w:sz w:val="21"/>
                <w:szCs w:val="21"/>
                <w:lang w:val="en-US" w:eastAsia="zh-CN"/>
              </w:rPr>
              <w:t xml:space="preserve">第九条 </w:t>
            </w:r>
            <w:r>
              <w:rPr>
                <w:rFonts w:hint="eastAsia" w:ascii="Times New Roman" w:hAnsi="Times New Roman" w:cs="Times New Roman"/>
                <w:b w:val="0"/>
                <w:color w:val="000000"/>
                <w:sz w:val="21"/>
                <w:szCs w:val="21"/>
              </w:rPr>
              <w:t xml:space="preserve"> </w:t>
            </w:r>
            <w:r>
              <w:rPr>
                <w:rFonts w:ascii="Times New Roman" w:hAnsi="Times New Roman" w:cs="Times New Roman"/>
                <w:b/>
                <w:bCs/>
                <w:strike/>
                <w:dstrike w:val="0"/>
                <w:color w:val="000000"/>
                <w:sz w:val="21"/>
                <w:szCs w:val="21"/>
              </w:rPr>
              <w:t>公司全部资产分为等额股份，</w:t>
            </w:r>
            <w:r>
              <w:rPr>
                <w:rFonts w:ascii="Times New Roman" w:hAnsi="Times New Roman" w:cs="Times New Roman"/>
                <w:b w:val="0"/>
                <w:color w:val="000000"/>
                <w:sz w:val="21"/>
                <w:szCs w:val="21"/>
              </w:rPr>
              <w:t>股东以其认购的股份为限对公司承担责任，公司以其全部资产对公司的债务承担责任。</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AF85AC8">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cs="Times New Roman"/>
                <w:b w:val="0"/>
                <w:bCs w:val="0"/>
                <w:color w:val="000000"/>
                <w:sz w:val="21"/>
                <w:szCs w:val="21"/>
                <w:lang w:val="en-US" w:eastAsia="zh-CN"/>
              </w:rPr>
            </w:pPr>
            <w:r>
              <w:rPr>
                <w:rFonts w:hint="eastAsia" w:cs="Times New Roman"/>
                <w:b w:val="0"/>
                <w:bCs w:val="0"/>
                <w:color w:val="000000"/>
                <w:sz w:val="21"/>
                <w:szCs w:val="21"/>
                <w:lang w:val="en-US" w:eastAsia="zh-CN"/>
              </w:rPr>
              <w:t xml:space="preserve">第十条 </w:t>
            </w:r>
            <w:r>
              <w:rPr>
                <w:rFonts w:hint="eastAsia" w:ascii="Times New Roman" w:hAnsi="Times New Roman" w:cs="Times New Roman"/>
                <w:b w:val="0"/>
                <w:color w:val="000000"/>
                <w:sz w:val="21"/>
                <w:szCs w:val="21"/>
              </w:rPr>
              <w:t xml:space="preserve"> </w:t>
            </w:r>
            <w:r>
              <w:rPr>
                <w:rFonts w:ascii="Times New Roman" w:hAnsi="Times New Roman" w:cs="Times New Roman"/>
                <w:b w:val="0"/>
                <w:color w:val="000000"/>
                <w:sz w:val="21"/>
                <w:szCs w:val="21"/>
              </w:rPr>
              <w:t>股东以其认购的股份为限对公司承担责任，公司以其全部资产对公司的债务承担责任。</w:t>
            </w:r>
          </w:p>
        </w:tc>
      </w:tr>
      <w:tr w14:paraId="5780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F5A282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default" w:cs="Times New Roman"/>
                <w:b w:val="0"/>
                <w:color w:val="000000"/>
                <w:sz w:val="21"/>
                <w:szCs w:val="21"/>
                <w:lang w:val="en-US" w:eastAsia="zh-CN"/>
              </w:rPr>
            </w:pPr>
            <w:r>
              <w:rPr>
                <w:rFonts w:ascii="Times New Roman" w:hAnsi="Times New Roman" w:cs="Times New Roman"/>
                <w:b w:val="0"/>
                <w:bCs w:val="0"/>
                <w:color w:val="000000"/>
                <w:sz w:val="21"/>
                <w:szCs w:val="21"/>
              </w:rPr>
              <w:t>第</w:t>
            </w:r>
            <w:r>
              <w:rPr>
                <w:rFonts w:hint="eastAsia" w:cs="Times New Roman"/>
                <w:b w:val="0"/>
                <w:bCs w:val="0"/>
                <w:color w:val="000000"/>
                <w:sz w:val="21"/>
                <w:szCs w:val="21"/>
                <w:lang w:val="en-US" w:eastAsia="zh-CN"/>
              </w:rPr>
              <w:t>十一</w:t>
            </w:r>
            <w:r>
              <w:rPr>
                <w:rFonts w:ascii="Times New Roman" w:hAnsi="Times New Roman" w:cs="Times New Roman"/>
                <w:b w:val="0"/>
                <w:bCs w:val="0"/>
                <w:color w:val="000000"/>
                <w:sz w:val="21"/>
                <w:szCs w:val="21"/>
              </w:rPr>
              <w:t>条</w:t>
            </w:r>
            <w:r>
              <w:rPr>
                <w:rFonts w:hint="eastAsia" w:cs="Times New Roman"/>
                <w:b w:val="0"/>
                <w:bCs/>
                <w:color w:val="000000"/>
                <w:sz w:val="21"/>
                <w:szCs w:val="21"/>
                <w:lang w:val="en-US" w:eastAsia="zh-CN"/>
              </w:rPr>
              <w:t xml:space="preserve">  </w:t>
            </w:r>
            <w:r>
              <w:rPr>
                <w:rFonts w:hint="eastAsia" w:cs="Times New Roman"/>
                <w:b w:val="0"/>
                <w:bCs w:val="0"/>
                <w:color w:val="000000"/>
                <w:sz w:val="21"/>
                <w:szCs w:val="21"/>
                <w:lang w:val="en-US" w:eastAsia="zh-CN"/>
              </w:rPr>
              <w:t>本</w:t>
            </w:r>
            <w:r>
              <w:rPr>
                <w:rFonts w:ascii="Times New Roman" w:hAnsi="Times New Roman" w:cs="Times New Roman"/>
                <w:b w:val="0"/>
                <w:color w:val="000000"/>
                <w:sz w:val="21"/>
                <w:szCs w:val="21"/>
              </w:rPr>
              <w:t>章程所称</w:t>
            </w:r>
            <w:r>
              <w:rPr>
                <w:rFonts w:ascii="Times New Roman" w:hAnsi="Times New Roman" w:cs="Times New Roman"/>
                <w:b/>
                <w:bCs/>
                <w:strike/>
                <w:dstrike w:val="0"/>
                <w:color w:val="000000"/>
                <w:sz w:val="21"/>
                <w:szCs w:val="21"/>
              </w:rPr>
              <w:t>其他</w:t>
            </w:r>
            <w:r>
              <w:rPr>
                <w:rFonts w:ascii="Times New Roman" w:hAnsi="Times New Roman" w:cs="Times New Roman"/>
                <w:b w:val="0"/>
                <w:color w:val="000000"/>
                <w:sz w:val="21"/>
                <w:szCs w:val="21"/>
              </w:rPr>
              <w:t>高级管理人员是指公司的副总经理、董事会秘书和财务负责人</w:t>
            </w:r>
            <w:r>
              <w:rPr>
                <w:b w:val="0"/>
                <w:color w:val="000000"/>
                <w:sz w:val="21"/>
                <w:szCs w:val="21"/>
              </w:rPr>
              <w:t>以及董事会以决议形式认定的其他人员</w:t>
            </w:r>
            <w:r>
              <w:rPr>
                <w:rFonts w:ascii="Times New Roman" w:hAnsi="Times New Roman" w:cs="Times New Roman"/>
                <w:b w:val="0"/>
                <w:color w:val="000000"/>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093326F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cs="Times New Roman"/>
                <w:b w:val="0"/>
                <w:color w:val="000000"/>
                <w:sz w:val="21"/>
                <w:szCs w:val="21"/>
                <w:lang w:val="en-US" w:eastAsia="zh-CN"/>
              </w:rPr>
            </w:pPr>
            <w:r>
              <w:rPr>
                <w:rFonts w:ascii="Times New Roman" w:hAnsi="Times New Roman" w:cs="Times New Roman"/>
                <w:b w:val="0"/>
                <w:bCs w:val="0"/>
                <w:color w:val="000000"/>
                <w:sz w:val="21"/>
                <w:szCs w:val="21"/>
              </w:rPr>
              <w:t>第十二条</w:t>
            </w:r>
            <w:r>
              <w:rPr>
                <w:rFonts w:hint="eastAsia" w:cs="Times New Roman"/>
                <w:b w:val="0"/>
                <w:bCs/>
                <w:color w:val="000000"/>
                <w:sz w:val="21"/>
                <w:szCs w:val="21"/>
                <w:lang w:val="en-US" w:eastAsia="zh-CN"/>
              </w:rPr>
              <w:t xml:space="preserve">  </w:t>
            </w:r>
            <w:r>
              <w:rPr>
                <w:rFonts w:hint="eastAsia" w:cs="Times New Roman"/>
                <w:b w:val="0"/>
                <w:bCs w:val="0"/>
                <w:color w:val="000000"/>
                <w:sz w:val="21"/>
                <w:szCs w:val="21"/>
                <w:lang w:val="en-US" w:eastAsia="zh-CN"/>
              </w:rPr>
              <w:t>本</w:t>
            </w:r>
            <w:r>
              <w:rPr>
                <w:rFonts w:ascii="Times New Roman" w:hAnsi="Times New Roman" w:cs="Times New Roman"/>
                <w:b w:val="0"/>
                <w:color w:val="000000"/>
                <w:sz w:val="21"/>
                <w:szCs w:val="21"/>
              </w:rPr>
              <w:t>章程所称高级管理人员是指公司的</w:t>
            </w:r>
            <w:r>
              <w:rPr>
                <w:rFonts w:hint="eastAsia" w:ascii="Times New Roman" w:hAnsi="Times New Roman" w:cs="Times New Roman"/>
                <w:b/>
                <w:bCs/>
                <w:color w:val="auto"/>
                <w:sz w:val="21"/>
                <w:szCs w:val="21"/>
                <w:lang w:val="en-US" w:eastAsia="zh-CN"/>
              </w:rPr>
              <w:t>总经理、</w:t>
            </w:r>
            <w:r>
              <w:rPr>
                <w:rFonts w:ascii="Times New Roman" w:hAnsi="Times New Roman" w:cs="Times New Roman"/>
                <w:b w:val="0"/>
                <w:color w:val="000000"/>
                <w:sz w:val="21"/>
                <w:szCs w:val="21"/>
              </w:rPr>
              <w:t>副总经理、董事会秘书和财务负责人</w:t>
            </w:r>
            <w:r>
              <w:rPr>
                <w:b w:val="0"/>
                <w:color w:val="000000"/>
                <w:sz w:val="21"/>
                <w:szCs w:val="21"/>
              </w:rPr>
              <w:t>以及董事会以决议形式认定的其他人员</w:t>
            </w:r>
            <w:r>
              <w:rPr>
                <w:rFonts w:ascii="Times New Roman" w:hAnsi="Times New Roman" w:cs="Times New Roman"/>
                <w:b w:val="0"/>
                <w:color w:val="000000"/>
                <w:sz w:val="21"/>
                <w:szCs w:val="21"/>
              </w:rPr>
              <w:t>。</w:t>
            </w:r>
          </w:p>
        </w:tc>
      </w:tr>
      <w:tr w14:paraId="30202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624" w:type="dxa"/>
            <w:gridSpan w:val="3"/>
            <w:tcBorders>
              <w:top w:val="single" w:color="000000" w:sz="4" w:space="0"/>
              <w:left w:val="single" w:color="000000" w:sz="12" w:space="0"/>
              <w:bottom w:val="single" w:color="000000" w:sz="4" w:space="0"/>
              <w:right w:val="single" w:color="000000" w:sz="12" w:space="0"/>
            </w:tcBorders>
            <w:shd w:val="clear" w:color="auto" w:fill="FFFFFF"/>
            <w:vAlign w:val="center"/>
          </w:tcPr>
          <w:p w14:paraId="7565FEC4">
            <w:pPr>
              <w:pStyle w:val="2"/>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ascii="Times New Roman" w:hAnsi="Times New Roman" w:cs="Times New Roman"/>
                <w:b w:val="0"/>
                <w:bCs w:val="0"/>
                <w:color w:val="000000"/>
                <w:sz w:val="21"/>
                <w:szCs w:val="21"/>
              </w:rPr>
            </w:pPr>
            <w:bookmarkStart w:id="2" w:name="_Toc6321080"/>
            <w:bookmarkStart w:id="3" w:name="_Toc23797"/>
            <w:bookmarkStart w:id="4" w:name="_Toc6320688"/>
            <w:bookmarkStart w:id="5" w:name="_Toc6320723"/>
            <w:r>
              <w:rPr>
                <w:rFonts w:ascii="Times New Roman" w:hAnsi="Times New Roman" w:cs="Times New Roman"/>
                <w:sz w:val="21"/>
                <w:szCs w:val="21"/>
              </w:rPr>
              <w:t>第三章</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股  份</w:t>
            </w:r>
            <w:bookmarkEnd w:id="2"/>
            <w:bookmarkEnd w:id="3"/>
            <w:bookmarkEnd w:id="4"/>
            <w:bookmarkEnd w:id="5"/>
          </w:p>
        </w:tc>
      </w:tr>
      <w:tr w14:paraId="787C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auto"/>
            <w:vAlign w:val="top"/>
          </w:tcPr>
          <w:p w14:paraId="551397CC">
            <w:pPr>
              <w:pStyle w:val="25"/>
              <w:keepNext w:val="0"/>
              <w:keepLines w:val="0"/>
              <w:pageBreakBefore w:val="0"/>
              <w:widowControl w:val="0"/>
              <w:kinsoku/>
              <w:wordWrap/>
              <w:overflowPunct/>
              <w:topLinePunct w:val="0"/>
              <w:autoSpaceDE/>
              <w:autoSpaceDN/>
              <w:bidi w:val="0"/>
              <w:spacing w:line="240" w:lineRule="auto"/>
              <w:ind w:left="0" w:leftChars="0" w:right="0" w:firstLine="2" w:firstLineChars="0"/>
              <w:jc w:val="both"/>
              <w:textAlignment w:val="auto"/>
              <w:rPr>
                <w:spacing w:val="-6"/>
                <w:sz w:val="21"/>
                <w:szCs w:val="21"/>
              </w:rPr>
            </w:pPr>
            <w:r>
              <w:rPr>
                <w:rFonts w:hint="eastAsia"/>
                <w:spacing w:val="-6"/>
                <w:sz w:val="21"/>
                <w:szCs w:val="21"/>
              </w:rPr>
              <w:t xml:space="preserve">第十六条 </w:t>
            </w:r>
            <w:r>
              <w:rPr>
                <w:rFonts w:hint="eastAsia"/>
                <w:spacing w:val="-6"/>
                <w:sz w:val="21"/>
                <w:szCs w:val="21"/>
                <w:lang w:val="en-US" w:eastAsia="zh-CN"/>
              </w:rPr>
              <w:t xml:space="preserve"> </w:t>
            </w:r>
            <w:r>
              <w:rPr>
                <w:rFonts w:hint="eastAsia"/>
                <w:spacing w:val="-6"/>
                <w:sz w:val="21"/>
                <w:szCs w:val="21"/>
              </w:rPr>
              <w:t>公司股份的发行，实行公开、公平、公正的原则，同</w:t>
            </w:r>
            <w:r>
              <w:rPr>
                <w:rFonts w:hint="eastAsia"/>
                <w:b/>
                <w:bCs/>
                <w:spacing w:val="-6"/>
                <w:sz w:val="21"/>
                <w:szCs w:val="21"/>
              </w:rPr>
              <w:t>种类</w:t>
            </w:r>
            <w:r>
              <w:rPr>
                <w:rFonts w:hint="eastAsia"/>
                <w:spacing w:val="-6"/>
                <w:sz w:val="21"/>
                <w:szCs w:val="21"/>
              </w:rPr>
              <w:t>的每一股份应当具有同等权利。</w:t>
            </w:r>
          </w:p>
        </w:tc>
        <w:tc>
          <w:tcPr>
            <w:tcW w:w="4335" w:type="dxa"/>
            <w:tcBorders>
              <w:top w:val="single" w:color="000000" w:sz="4" w:space="0"/>
              <w:left w:val="single" w:color="000000" w:sz="4" w:space="0"/>
              <w:bottom w:val="single" w:color="000000" w:sz="4" w:space="0"/>
              <w:right w:val="single" w:color="000000" w:sz="12" w:space="0"/>
            </w:tcBorders>
            <w:shd w:val="clear" w:color="auto" w:fill="auto"/>
            <w:vAlign w:val="top"/>
          </w:tcPr>
          <w:p w14:paraId="34E2CB22">
            <w:pPr>
              <w:pStyle w:val="25"/>
              <w:keepNext w:val="0"/>
              <w:keepLines w:val="0"/>
              <w:pageBreakBefore w:val="0"/>
              <w:widowControl w:val="0"/>
              <w:kinsoku/>
              <w:wordWrap/>
              <w:overflowPunct/>
              <w:topLinePunct w:val="0"/>
              <w:autoSpaceDE/>
              <w:autoSpaceDN/>
              <w:bidi w:val="0"/>
              <w:spacing w:line="240" w:lineRule="auto"/>
              <w:ind w:right="0"/>
              <w:jc w:val="both"/>
              <w:textAlignment w:val="auto"/>
              <w:rPr>
                <w:b/>
                <w:bCs/>
                <w:color w:val="auto"/>
                <w:spacing w:val="-4"/>
                <w:sz w:val="21"/>
                <w:szCs w:val="21"/>
              </w:rPr>
            </w:pPr>
            <w:r>
              <w:rPr>
                <w:rFonts w:hint="eastAsia"/>
                <w:b w:val="0"/>
                <w:bCs w:val="0"/>
                <w:color w:val="auto"/>
                <w:spacing w:val="-4"/>
                <w:sz w:val="21"/>
                <w:szCs w:val="21"/>
              </w:rPr>
              <w:t>第十七条</w:t>
            </w:r>
            <w:r>
              <w:rPr>
                <w:rFonts w:hint="eastAsia"/>
                <w:b w:val="0"/>
                <w:bCs w:val="0"/>
                <w:color w:val="auto"/>
                <w:spacing w:val="-4"/>
                <w:sz w:val="21"/>
                <w:szCs w:val="21"/>
                <w:lang w:val="en-US" w:eastAsia="zh-CN"/>
              </w:rPr>
              <w:t xml:space="preserve">  </w:t>
            </w:r>
            <w:r>
              <w:rPr>
                <w:rFonts w:hint="eastAsia"/>
                <w:b w:val="0"/>
                <w:bCs w:val="0"/>
                <w:color w:val="auto"/>
                <w:spacing w:val="-4"/>
                <w:sz w:val="21"/>
                <w:szCs w:val="21"/>
              </w:rPr>
              <w:t>公司股份的发行，实行公开、公平、公正的原则，同</w:t>
            </w:r>
            <w:r>
              <w:rPr>
                <w:rFonts w:hint="eastAsia"/>
                <w:b/>
                <w:bCs/>
                <w:color w:val="auto"/>
                <w:spacing w:val="-4"/>
                <w:sz w:val="21"/>
                <w:szCs w:val="21"/>
              </w:rPr>
              <w:t>类别</w:t>
            </w:r>
            <w:r>
              <w:rPr>
                <w:rFonts w:hint="eastAsia"/>
                <w:b w:val="0"/>
                <w:bCs w:val="0"/>
                <w:color w:val="auto"/>
                <w:spacing w:val="-4"/>
                <w:sz w:val="21"/>
                <w:szCs w:val="21"/>
              </w:rPr>
              <w:t>的每一股份应当具有同等权利。</w:t>
            </w:r>
          </w:p>
        </w:tc>
      </w:tr>
      <w:tr w14:paraId="2C0A2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auto"/>
            <w:vAlign w:val="top"/>
          </w:tcPr>
          <w:p w14:paraId="4FEEC958">
            <w:pPr>
              <w:pStyle w:val="25"/>
              <w:keepNext w:val="0"/>
              <w:keepLines w:val="0"/>
              <w:pageBreakBefore w:val="0"/>
              <w:widowControl w:val="0"/>
              <w:kinsoku/>
              <w:wordWrap/>
              <w:overflowPunct/>
              <w:topLinePunct w:val="0"/>
              <w:autoSpaceDE/>
              <w:autoSpaceDN/>
              <w:bidi w:val="0"/>
              <w:spacing w:line="240" w:lineRule="auto"/>
              <w:ind w:left="0" w:leftChars="0" w:right="0" w:firstLine="2" w:firstLineChars="0"/>
              <w:jc w:val="both"/>
              <w:textAlignment w:val="auto"/>
              <w:rPr>
                <w:rFonts w:ascii="宋体" w:hAnsi="宋体" w:eastAsia="宋体" w:cs="宋体"/>
                <w:kern w:val="2"/>
                <w:sz w:val="21"/>
                <w:szCs w:val="21"/>
                <w:lang w:val="en-US" w:eastAsia="en-US" w:bidi="ar-SA"/>
              </w:rPr>
            </w:pPr>
            <w:r>
              <w:rPr>
                <w:spacing w:val="-6"/>
                <w:sz w:val="21"/>
                <w:szCs w:val="21"/>
              </w:rPr>
              <w:t>第二十一条</w:t>
            </w:r>
            <w:r>
              <w:rPr>
                <w:rFonts w:hint="eastAsia"/>
                <w:spacing w:val="-6"/>
                <w:sz w:val="21"/>
                <w:szCs w:val="21"/>
                <w:lang w:val="en-US" w:eastAsia="zh-CN"/>
              </w:rPr>
              <w:t xml:space="preserve">  </w:t>
            </w:r>
            <w:r>
              <w:rPr>
                <w:spacing w:val="-6"/>
                <w:sz w:val="21"/>
                <w:szCs w:val="21"/>
              </w:rPr>
              <w:t>公司或公司的子公司（包括公司的附属企业）不得以赠与、垫资、担保、补偿或</w:t>
            </w:r>
            <w:r>
              <w:rPr>
                <w:b/>
                <w:bCs/>
                <w:color w:val="auto"/>
                <w:spacing w:val="-6"/>
                <w:sz w:val="21"/>
                <w:szCs w:val="21"/>
              </w:rPr>
              <w:t>贷款</w:t>
            </w:r>
            <w:r>
              <w:rPr>
                <w:spacing w:val="-6"/>
                <w:sz w:val="21"/>
                <w:szCs w:val="21"/>
              </w:rPr>
              <w:t>等形式</w:t>
            </w:r>
            <w:r>
              <w:rPr>
                <w:color w:val="auto"/>
                <w:spacing w:val="-6"/>
                <w:sz w:val="21"/>
                <w:szCs w:val="21"/>
              </w:rPr>
              <w:t>，</w:t>
            </w:r>
            <w:r>
              <w:rPr>
                <w:b w:val="0"/>
                <w:bCs w:val="0"/>
                <w:color w:val="auto"/>
                <w:spacing w:val="-6"/>
                <w:sz w:val="21"/>
                <w:szCs w:val="21"/>
              </w:rPr>
              <w:t>对购买或者拟购买公司股份的人</w:t>
            </w:r>
            <w:r>
              <w:rPr>
                <w:b w:val="0"/>
                <w:bCs w:val="0"/>
                <w:color w:val="auto"/>
                <w:spacing w:val="-3"/>
                <w:sz w:val="21"/>
                <w:szCs w:val="21"/>
              </w:rPr>
              <w:t>提供任何资助。</w:t>
            </w:r>
          </w:p>
        </w:tc>
        <w:tc>
          <w:tcPr>
            <w:tcW w:w="4335" w:type="dxa"/>
            <w:tcBorders>
              <w:top w:val="single" w:color="000000" w:sz="4" w:space="0"/>
              <w:left w:val="single" w:color="000000" w:sz="4" w:space="0"/>
              <w:bottom w:val="single" w:color="000000" w:sz="4" w:space="0"/>
              <w:right w:val="single" w:color="000000" w:sz="12" w:space="0"/>
            </w:tcBorders>
            <w:shd w:val="clear" w:color="auto" w:fill="auto"/>
            <w:vAlign w:val="top"/>
          </w:tcPr>
          <w:p w14:paraId="2C56F426">
            <w:pPr>
              <w:pStyle w:val="25"/>
              <w:keepNext w:val="0"/>
              <w:keepLines w:val="0"/>
              <w:pageBreakBefore w:val="0"/>
              <w:widowControl w:val="0"/>
              <w:kinsoku/>
              <w:wordWrap/>
              <w:overflowPunct/>
              <w:topLinePunct w:val="0"/>
              <w:autoSpaceDE/>
              <w:autoSpaceDN/>
              <w:bidi w:val="0"/>
              <w:spacing w:line="240" w:lineRule="auto"/>
              <w:ind w:left="0" w:leftChars="0" w:right="0" w:firstLine="2"/>
              <w:jc w:val="both"/>
              <w:textAlignment w:val="auto"/>
              <w:rPr>
                <w:b/>
                <w:bCs/>
                <w:color w:val="auto"/>
                <w:sz w:val="21"/>
                <w:szCs w:val="21"/>
              </w:rPr>
            </w:pPr>
            <w:r>
              <w:rPr>
                <w:spacing w:val="-4"/>
                <w:sz w:val="21"/>
                <w:szCs w:val="21"/>
              </w:rPr>
              <w:t>第二十二条</w:t>
            </w:r>
            <w:r>
              <w:rPr>
                <w:rFonts w:hint="eastAsia"/>
                <w:spacing w:val="-4"/>
                <w:sz w:val="21"/>
                <w:szCs w:val="21"/>
                <w:lang w:val="en-US" w:eastAsia="zh-CN"/>
              </w:rPr>
              <w:t xml:space="preserve">  </w:t>
            </w:r>
            <w:r>
              <w:rPr>
                <w:spacing w:val="-4"/>
                <w:sz w:val="21"/>
                <w:szCs w:val="21"/>
              </w:rPr>
              <w:t>公司或公司的子公司（包括公司的附属企业）不得以赠与、垫资、担保、补偿或</w:t>
            </w:r>
            <w:r>
              <w:rPr>
                <w:rFonts w:hint="eastAsia"/>
                <w:b/>
                <w:bCs/>
                <w:color w:val="auto"/>
                <w:spacing w:val="-4"/>
                <w:sz w:val="21"/>
                <w:szCs w:val="21"/>
                <w:lang w:val="en-US" w:eastAsia="zh-CN"/>
              </w:rPr>
              <w:t>借款</w:t>
            </w:r>
            <w:r>
              <w:rPr>
                <w:spacing w:val="-4"/>
                <w:sz w:val="21"/>
                <w:szCs w:val="21"/>
              </w:rPr>
              <w:t>等形式，</w:t>
            </w:r>
            <w:r>
              <w:rPr>
                <w:b/>
                <w:bCs/>
                <w:color w:val="auto"/>
                <w:spacing w:val="-4"/>
                <w:sz w:val="21"/>
                <w:szCs w:val="21"/>
              </w:rPr>
              <w:t>为他人取得本公司或者其母公司的股份提供财务资助，公司实施员工持股计划</w:t>
            </w:r>
            <w:r>
              <w:rPr>
                <w:b/>
                <w:bCs/>
                <w:color w:val="auto"/>
                <w:spacing w:val="-1"/>
                <w:sz w:val="21"/>
                <w:szCs w:val="21"/>
              </w:rPr>
              <w:t>的除外。</w:t>
            </w:r>
          </w:p>
          <w:p w14:paraId="1C785383">
            <w:pPr>
              <w:pStyle w:val="25"/>
              <w:keepNext w:val="0"/>
              <w:keepLines w:val="0"/>
              <w:pageBreakBefore w:val="0"/>
              <w:widowControl w:val="0"/>
              <w:kinsoku/>
              <w:wordWrap/>
              <w:overflowPunct/>
              <w:topLinePunct w:val="0"/>
              <w:autoSpaceDE/>
              <w:autoSpaceDN/>
              <w:bidi w:val="0"/>
              <w:spacing w:line="240" w:lineRule="auto"/>
              <w:ind w:left="0" w:leftChars="0" w:right="0" w:firstLine="406" w:firstLineChars="200"/>
              <w:jc w:val="both"/>
              <w:textAlignment w:val="auto"/>
              <w:rPr>
                <w:rFonts w:ascii="宋体" w:hAnsi="宋体" w:eastAsia="宋体" w:cs="宋体"/>
                <w:kern w:val="2"/>
                <w:sz w:val="21"/>
                <w:szCs w:val="21"/>
                <w:lang w:val="en-US" w:eastAsia="en-US" w:bidi="ar-SA"/>
              </w:rPr>
            </w:pPr>
            <w:r>
              <w:rPr>
                <w:b/>
                <w:bCs/>
                <w:color w:val="auto"/>
                <w:spacing w:val="-4"/>
                <w:sz w:val="21"/>
                <w:szCs w:val="21"/>
              </w:rPr>
              <w:t>为公司利益，经股东会决议，或者董事会按照本章程或者股东会的授权作出决议，公司可以</w:t>
            </w:r>
            <w:r>
              <w:rPr>
                <w:b/>
                <w:bCs/>
                <w:color w:val="auto"/>
                <w:spacing w:val="7"/>
                <w:sz w:val="21"/>
                <w:szCs w:val="21"/>
              </w:rPr>
              <w:t>为他人取得本公司或者其母公司的股份提供</w:t>
            </w:r>
            <w:r>
              <w:rPr>
                <w:b/>
                <w:bCs/>
                <w:color w:val="auto"/>
                <w:spacing w:val="-4"/>
                <w:sz w:val="21"/>
                <w:szCs w:val="21"/>
              </w:rPr>
              <w:t>财务资助，但财务资助的累计总额不得超过已发行股本总额的</w:t>
            </w:r>
            <w:r>
              <w:rPr>
                <w:rFonts w:hint="default" w:ascii="Times New Roman" w:hAnsi="Times New Roman" w:cs="Times New Roman"/>
                <w:b/>
                <w:bCs/>
                <w:color w:val="auto"/>
                <w:spacing w:val="-4"/>
                <w:sz w:val="21"/>
                <w:szCs w:val="21"/>
                <w:lang w:val="en-US" w:eastAsia="zh-CN"/>
              </w:rPr>
              <w:t>10%</w:t>
            </w:r>
            <w:r>
              <w:rPr>
                <w:rFonts w:hint="default" w:ascii="Times New Roman" w:hAnsi="Times New Roman" w:cs="Times New Roman"/>
                <w:b/>
                <w:bCs/>
                <w:color w:val="auto"/>
                <w:spacing w:val="-4"/>
                <w:sz w:val="21"/>
                <w:szCs w:val="21"/>
              </w:rPr>
              <w:t>。董事会作出决议应</w:t>
            </w:r>
            <w:r>
              <w:rPr>
                <w:rFonts w:hint="default" w:ascii="Times New Roman" w:hAnsi="Times New Roman" w:cs="Times New Roman"/>
                <w:b/>
                <w:bCs/>
                <w:color w:val="auto"/>
                <w:spacing w:val="-2"/>
                <w:sz w:val="21"/>
                <w:szCs w:val="21"/>
              </w:rPr>
              <w:t>当经全体董事的</w:t>
            </w:r>
            <w:r>
              <w:rPr>
                <w:rFonts w:hint="default" w:ascii="Times New Roman" w:hAnsi="Times New Roman" w:cs="Times New Roman"/>
                <w:b/>
                <w:bCs/>
                <w:color w:val="auto"/>
                <w:spacing w:val="-2"/>
                <w:sz w:val="21"/>
                <w:szCs w:val="21"/>
                <w:lang w:val="en-US" w:eastAsia="zh-CN"/>
              </w:rPr>
              <w:t>2/3</w:t>
            </w:r>
            <w:r>
              <w:rPr>
                <w:b/>
                <w:bCs/>
                <w:color w:val="auto"/>
                <w:spacing w:val="-2"/>
                <w:sz w:val="21"/>
                <w:szCs w:val="21"/>
              </w:rPr>
              <w:t>以上通过。</w:t>
            </w:r>
          </w:p>
        </w:tc>
      </w:tr>
      <w:tr w14:paraId="6ED4B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auto"/>
            <w:vAlign w:val="top"/>
          </w:tcPr>
          <w:p w14:paraId="360419B1">
            <w:pPr>
              <w:pStyle w:val="25"/>
              <w:keepNext w:val="0"/>
              <w:keepLines w:val="0"/>
              <w:pageBreakBefore w:val="0"/>
              <w:widowControl w:val="0"/>
              <w:kinsoku/>
              <w:wordWrap/>
              <w:overflowPunct/>
              <w:topLinePunct w:val="0"/>
              <w:autoSpaceDE/>
              <w:autoSpaceDN/>
              <w:bidi w:val="0"/>
              <w:spacing w:line="240" w:lineRule="auto"/>
              <w:ind w:left="0" w:leftChars="0" w:right="0"/>
              <w:jc w:val="both"/>
              <w:textAlignment w:val="auto"/>
              <w:rPr>
                <w:sz w:val="21"/>
                <w:szCs w:val="21"/>
              </w:rPr>
            </w:pPr>
            <w:r>
              <w:rPr>
                <w:spacing w:val="-9"/>
                <w:sz w:val="21"/>
                <w:szCs w:val="21"/>
              </w:rPr>
              <w:t>第二十二条</w:t>
            </w:r>
            <w:r>
              <w:rPr>
                <w:rFonts w:hint="eastAsia"/>
                <w:spacing w:val="-9"/>
                <w:sz w:val="21"/>
                <w:szCs w:val="21"/>
                <w:lang w:val="en-US" w:eastAsia="zh-CN"/>
              </w:rPr>
              <w:t xml:space="preserve">  </w:t>
            </w:r>
            <w:r>
              <w:rPr>
                <w:spacing w:val="-9"/>
                <w:sz w:val="21"/>
                <w:szCs w:val="21"/>
              </w:rPr>
              <w:t>公司根据经营和发展的需要，依照</w:t>
            </w:r>
            <w:r>
              <w:rPr>
                <w:spacing w:val="-16"/>
                <w:sz w:val="21"/>
                <w:szCs w:val="21"/>
              </w:rPr>
              <w:t>法律、法规的规定，经</w:t>
            </w:r>
            <w:r>
              <w:rPr>
                <w:b/>
                <w:bCs/>
                <w:spacing w:val="-16"/>
                <w:sz w:val="21"/>
                <w:szCs w:val="21"/>
              </w:rPr>
              <w:t>股东</w:t>
            </w:r>
            <w:r>
              <w:rPr>
                <w:b/>
                <w:bCs/>
                <w:strike/>
                <w:dstrike w:val="0"/>
                <w:spacing w:val="-16"/>
                <w:sz w:val="21"/>
                <w:szCs w:val="21"/>
              </w:rPr>
              <w:t>大</w:t>
            </w:r>
            <w:r>
              <w:rPr>
                <w:b/>
                <w:bCs/>
                <w:spacing w:val="-16"/>
                <w:sz w:val="21"/>
                <w:szCs w:val="21"/>
              </w:rPr>
              <w:t>会</w:t>
            </w:r>
            <w:r>
              <w:rPr>
                <w:spacing w:val="-16"/>
                <w:sz w:val="21"/>
                <w:szCs w:val="21"/>
              </w:rPr>
              <w:t>分别作出决议，</w:t>
            </w:r>
            <w:r>
              <w:rPr>
                <w:spacing w:val="-6"/>
                <w:sz w:val="21"/>
                <w:szCs w:val="21"/>
              </w:rPr>
              <w:t>可以采用下列方式增加资本：</w:t>
            </w:r>
          </w:p>
          <w:p w14:paraId="3C4400CB">
            <w:pPr>
              <w:pStyle w:val="25"/>
              <w:keepNext w:val="0"/>
              <w:keepLines w:val="0"/>
              <w:pageBreakBefore w:val="0"/>
              <w:widowControl w:val="0"/>
              <w:kinsoku/>
              <w:wordWrap/>
              <w:overflowPunct/>
              <w:topLinePunct w:val="0"/>
              <w:autoSpaceDE/>
              <w:autoSpaceDN/>
              <w:bidi w:val="0"/>
              <w:spacing w:line="240" w:lineRule="auto"/>
              <w:ind w:left="0" w:leftChars="0" w:right="0"/>
              <w:textAlignment w:val="auto"/>
              <w:rPr>
                <w:color w:val="auto"/>
                <w:sz w:val="21"/>
                <w:szCs w:val="21"/>
              </w:rPr>
            </w:pPr>
            <w:r>
              <w:rPr>
                <w:color w:val="auto"/>
                <w:spacing w:val="-2"/>
                <w:sz w:val="21"/>
                <w:szCs w:val="21"/>
              </w:rPr>
              <w:t>（一）</w:t>
            </w:r>
            <w:r>
              <w:rPr>
                <w:b/>
                <w:bCs/>
                <w:color w:val="auto"/>
                <w:spacing w:val="-2"/>
                <w:sz w:val="21"/>
                <w:szCs w:val="21"/>
              </w:rPr>
              <w:t>公开发行股份</w:t>
            </w:r>
            <w:r>
              <w:rPr>
                <w:color w:val="auto"/>
                <w:spacing w:val="-2"/>
                <w:sz w:val="21"/>
                <w:szCs w:val="21"/>
              </w:rPr>
              <w:t>；</w:t>
            </w:r>
          </w:p>
          <w:p w14:paraId="317A1015">
            <w:pPr>
              <w:pStyle w:val="25"/>
              <w:keepNext w:val="0"/>
              <w:keepLines w:val="0"/>
              <w:pageBreakBefore w:val="0"/>
              <w:widowControl w:val="0"/>
              <w:kinsoku/>
              <w:wordWrap/>
              <w:overflowPunct/>
              <w:topLinePunct w:val="0"/>
              <w:autoSpaceDE/>
              <w:autoSpaceDN/>
              <w:bidi w:val="0"/>
              <w:spacing w:line="240" w:lineRule="auto"/>
              <w:ind w:left="0" w:leftChars="0" w:right="0"/>
              <w:textAlignment w:val="auto"/>
              <w:rPr>
                <w:color w:val="auto"/>
                <w:sz w:val="21"/>
                <w:szCs w:val="21"/>
              </w:rPr>
            </w:pPr>
            <w:r>
              <w:rPr>
                <w:color w:val="auto"/>
                <w:spacing w:val="-2"/>
                <w:sz w:val="21"/>
                <w:szCs w:val="21"/>
              </w:rPr>
              <w:t>（二）</w:t>
            </w:r>
            <w:r>
              <w:rPr>
                <w:b/>
                <w:bCs/>
                <w:color w:val="auto"/>
                <w:spacing w:val="-2"/>
                <w:sz w:val="21"/>
                <w:szCs w:val="21"/>
              </w:rPr>
              <w:t>非公开发行股份</w:t>
            </w:r>
            <w:r>
              <w:rPr>
                <w:color w:val="auto"/>
                <w:spacing w:val="-2"/>
                <w:sz w:val="21"/>
                <w:szCs w:val="21"/>
              </w:rPr>
              <w:t>；</w:t>
            </w:r>
          </w:p>
          <w:p w14:paraId="68BC77C6">
            <w:pPr>
              <w:pStyle w:val="25"/>
              <w:keepNext w:val="0"/>
              <w:keepLines w:val="0"/>
              <w:pageBreakBefore w:val="0"/>
              <w:widowControl w:val="0"/>
              <w:kinsoku/>
              <w:wordWrap/>
              <w:overflowPunct/>
              <w:topLinePunct w:val="0"/>
              <w:autoSpaceDE/>
              <w:autoSpaceDN/>
              <w:bidi w:val="0"/>
              <w:spacing w:line="240" w:lineRule="auto"/>
              <w:ind w:left="0" w:leftChars="0" w:right="0"/>
              <w:textAlignment w:val="auto"/>
              <w:rPr>
                <w:sz w:val="21"/>
                <w:szCs w:val="21"/>
              </w:rPr>
            </w:pPr>
            <w:r>
              <w:rPr>
                <w:spacing w:val="-3"/>
                <w:sz w:val="21"/>
                <w:szCs w:val="21"/>
              </w:rPr>
              <w:t>（三）向现有股东派送红股；</w:t>
            </w:r>
          </w:p>
          <w:p w14:paraId="1677AED4">
            <w:pPr>
              <w:pStyle w:val="25"/>
              <w:keepNext w:val="0"/>
              <w:keepLines w:val="0"/>
              <w:pageBreakBefore w:val="0"/>
              <w:widowControl w:val="0"/>
              <w:kinsoku/>
              <w:wordWrap/>
              <w:overflowPunct/>
              <w:topLinePunct w:val="0"/>
              <w:autoSpaceDE/>
              <w:autoSpaceDN/>
              <w:bidi w:val="0"/>
              <w:spacing w:line="240" w:lineRule="auto"/>
              <w:ind w:left="0" w:leftChars="0" w:right="0"/>
              <w:textAlignment w:val="auto"/>
              <w:rPr>
                <w:sz w:val="21"/>
                <w:szCs w:val="21"/>
              </w:rPr>
            </w:pPr>
            <w:r>
              <w:rPr>
                <w:spacing w:val="-1"/>
                <w:sz w:val="21"/>
                <w:szCs w:val="21"/>
              </w:rPr>
              <w:t>（四）以公积金转增股本；</w:t>
            </w:r>
          </w:p>
          <w:p w14:paraId="6E39C40D">
            <w:pPr>
              <w:pStyle w:val="25"/>
              <w:keepNext w:val="0"/>
              <w:keepLines w:val="0"/>
              <w:pageBreakBefore w:val="0"/>
              <w:widowControl w:val="0"/>
              <w:kinsoku/>
              <w:wordWrap/>
              <w:overflowPunct/>
              <w:topLinePunct w:val="0"/>
              <w:autoSpaceDE/>
              <w:autoSpaceDN/>
              <w:bidi w:val="0"/>
              <w:spacing w:line="240" w:lineRule="auto"/>
              <w:ind w:left="0" w:leftChars="0" w:right="0" w:rightChars="0" w:firstLine="4" w:firstLineChars="0"/>
              <w:textAlignment w:val="auto"/>
              <w:rPr>
                <w:rFonts w:ascii="宋体" w:hAnsi="宋体" w:eastAsia="宋体" w:cs="宋体"/>
                <w:kern w:val="2"/>
                <w:sz w:val="21"/>
                <w:szCs w:val="21"/>
                <w:lang w:val="en-US" w:eastAsia="en-US" w:bidi="ar-SA"/>
              </w:rPr>
            </w:pPr>
            <w:r>
              <w:rPr>
                <w:spacing w:val="-7"/>
                <w:sz w:val="21"/>
                <w:szCs w:val="21"/>
              </w:rPr>
              <w:t>（五）法律、行政法规规定以及</w:t>
            </w:r>
            <w:r>
              <w:rPr>
                <w:rFonts w:hint="eastAsia" w:ascii="Times New Roman" w:hAnsi="Times New Roman" w:cs="Times New Roman"/>
                <w:sz w:val="21"/>
                <w:szCs w:val="21"/>
              </w:rPr>
              <w:t>中国证券</w:t>
            </w:r>
            <w:r>
              <w:rPr>
                <w:rFonts w:hint="eastAsia" w:ascii="Times New Roman" w:hAnsi="Times New Roman" w:cs="Times New Roman"/>
                <w:b/>
                <w:bCs/>
                <w:strike/>
                <w:dstrike w:val="0"/>
                <w:sz w:val="21"/>
                <w:szCs w:val="21"/>
              </w:rPr>
              <w:t>监督管理委员</w:t>
            </w:r>
            <w:r>
              <w:rPr>
                <w:rFonts w:hint="eastAsia" w:ascii="Times New Roman" w:hAnsi="Times New Roman" w:cs="Times New Roman"/>
                <w:sz w:val="21"/>
                <w:szCs w:val="21"/>
              </w:rPr>
              <w:t>会</w:t>
            </w:r>
            <w:r>
              <w:rPr>
                <w:rFonts w:hint="eastAsia" w:ascii="Times New Roman" w:hAnsi="Times New Roman" w:cs="Times New Roman"/>
                <w:b/>
                <w:bCs/>
                <w:strike/>
                <w:dstrike w:val="0"/>
                <w:sz w:val="21"/>
                <w:szCs w:val="21"/>
              </w:rPr>
              <w:t>（以下简称中国证监会）</w:t>
            </w:r>
            <w:r>
              <w:rPr>
                <w:spacing w:val="-7"/>
                <w:sz w:val="21"/>
                <w:szCs w:val="21"/>
              </w:rPr>
              <w:t>批</w:t>
            </w:r>
            <w:r>
              <w:rPr>
                <w:spacing w:val="-4"/>
                <w:sz w:val="21"/>
                <w:szCs w:val="21"/>
              </w:rPr>
              <w:t>准的其他方式。</w:t>
            </w:r>
          </w:p>
        </w:tc>
        <w:tc>
          <w:tcPr>
            <w:tcW w:w="4335" w:type="dxa"/>
            <w:tcBorders>
              <w:top w:val="single" w:color="000000" w:sz="4" w:space="0"/>
              <w:left w:val="single" w:color="000000" w:sz="4" w:space="0"/>
              <w:bottom w:val="single" w:color="000000" w:sz="4" w:space="0"/>
              <w:right w:val="single" w:color="000000" w:sz="12" w:space="0"/>
            </w:tcBorders>
            <w:shd w:val="clear" w:color="auto" w:fill="auto"/>
            <w:vAlign w:val="top"/>
          </w:tcPr>
          <w:p w14:paraId="3D6331D3">
            <w:pPr>
              <w:pStyle w:val="25"/>
              <w:keepNext w:val="0"/>
              <w:keepLines w:val="0"/>
              <w:pageBreakBefore w:val="0"/>
              <w:widowControl w:val="0"/>
              <w:kinsoku/>
              <w:wordWrap/>
              <w:overflowPunct/>
              <w:topLinePunct w:val="0"/>
              <w:autoSpaceDE/>
              <w:autoSpaceDN/>
              <w:bidi w:val="0"/>
              <w:spacing w:line="240" w:lineRule="auto"/>
              <w:ind w:left="0" w:leftChars="0" w:right="0"/>
              <w:jc w:val="both"/>
              <w:textAlignment w:val="auto"/>
              <w:rPr>
                <w:sz w:val="21"/>
                <w:szCs w:val="21"/>
              </w:rPr>
            </w:pPr>
            <w:r>
              <w:rPr>
                <w:spacing w:val="-4"/>
                <w:sz w:val="21"/>
                <w:szCs w:val="21"/>
              </w:rPr>
              <w:t>第二十三条</w:t>
            </w:r>
            <w:r>
              <w:rPr>
                <w:rFonts w:hint="eastAsia"/>
                <w:spacing w:val="-4"/>
                <w:sz w:val="21"/>
                <w:szCs w:val="21"/>
                <w:lang w:val="en-US" w:eastAsia="zh-CN"/>
              </w:rPr>
              <w:t xml:space="preserve">  </w:t>
            </w:r>
            <w:r>
              <w:rPr>
                <w:spacing w:val="-4"/>
                <w:sz w:val="21"/>
                <w:szCs w:val="21"/>
              </w:rPr>
              <w:t>公司根据经营和发展的需要，依照法律、法规的规定，经</w:t>
            </w:r>
            <w:r>
              <w:rPr>
                <w:b/>
                <w:bCs/>
                <w:spacing w:val="-4"/>
                <w:sz w:val="21"/>
                <w:szCs w:val="21"/>
              </w:rPr>
              <w:t>股东会</w:t>
            </w:r>
            <w:r>
              <w:rPr>
                <w:spacing w:val="-4"/>
                <w:sz w:val="21"/>
                <w:szCs w:val="21"/>
              </w:rPr>
              <w:t>作出决议，可以</w:t>
            </w:r>
            <w:r>
              <w:rPr>
                <w:spacing w:val="-3"/>
                <w:sz w:val="21"/>
                <w:szCs w:val="21"/>
              </w:rPr>
              <w:t>采用下列方式增加资本：</w:t>
            </w:r>
          </w:p>
          <w:p w14:paraId="14EAF36E">
            <w:pPr>
              <w:pStyle w:val="25"/>
              <w:keepNext w:val="0"/>
              <w:keepLines w:val="0"/>
              <w:pageBreakBefore w:val="0"/>
              <w:widowControl w:val="0"/>
              <w:kinsoku/>
              <w:wordWrap/>
              <w:overflowPunct/>
              <w:topLinePunct w:val="0"/>
              <w:autoSpaceDE/>
              <w:autoSpaceDN/>
              <w:bidi w:val="0"/>
              <w:spacing w:line="240" w:lineRule="auto"/>
              <w:ind w:left="0" w:leftChars="0" w:right="0"/>
              <w:textAlignment w:val="auto"/>
              <w:rPr>
                <w:b/>
                <w:bCs/>
                <w:color w:val="auto"/>
                <w:sz w:val="21"/>
                <w:szCs w:val="21"/>
              </w:rPr>
            </w:pPr>
            <w:r>
              <w:rPr>
                <w:b/>
                <w:bCs/>
                <w:color w:val="auto"/>
                <w:spacing w:val="-4"/>
                <w:sz w:val="21"/>
                <w:szCs w:val="21"/>
              </w:rPr>
              <w:t>（一）向不特定对象发行股份；</w:t>
            </w:r>
          </w:p>
          <w:p w14:paraId="7CD73C6E">
            <w:pPr>
              <w:pStyle w:val="25"/>
              <w:keepNext w:val="0"/>
              <w:keepLines w:val="0"/>
              <w:pageBreakBefore w:val="0"/>
              <w:widowControl w:val="0"/>
              <w:kinsoku/>
              <w:wordWrap/>
              <w:overflowPunct/>
              <w:topLinePunct w:val="0"/>
              <w:autoSpaceDE/>
              <w:autoSpaceDN/>
              <w:bidi w:val="0"/>
              <w:spacing w:line="240" w:lineRule="auto"/>
              <w:ind w:left="0" w:leftChars="0" w:right="0"/>
              <w:textAlignment w:val="auto"/>
              <w:rPr>
                <w:b/>
                <w:bCs/>
                <w:color w:val="auto"/>
                <w:sz w:val="21"/>
                <w:szCs w:val="21"/>
              </w:rPr>
            </w:pPr>
            <w:r>
              <w:rPr>
                <w:b/>
                <w:bCs/>
                <w:color w:val="auto"/>
                <w:spacing w:val="-3"/>
                <w:sz w:val="21"/>
                <w:szCs w:val="21"/>
              </w:rPr>
              <w:t>（二）向特定对象发行股份；</w:t>
            </w:r>
          </w:p>
          <w:p w14:paraId="3408A790">
            <w:pPr>
              <w:pStyle w:val="25"/>
              <w:keepNext w:val="0"/>
              <w:keepLines w:val="0"/>
              <w:pageBreakBefore w:val="0"/>
              <w:widowControl w:val="0"/>
              <w:kinsoku/>
              <w:wordWrap/>
              <w:overflowPunct/>
              <w:topLinePunct w:val="0"/>
              <w:autoSpaceDE/>
              <w:autoSpaceDN/>
              <w:bidi w:val="0"/>
              <w:spacing w:line="240" w:lineRule="auto"/>
              <w:ind w:left="0" w:leftChars="0" w:right="0"/>
              <w:textAlignment w:val="auto"/>
              <w:rPr>
                <w:sz w:val="21"/>
                <w:szCs w:val="21"/>
              </w:rPr>
            </w:pPr>
            <w:r>
              <w:rPr>
                <w:spacing w:val="-3"/>
                <w:sz w:val="21"/>
                <w:szCs w:val="21"/>
              </w:rPr>
              <w:t>（三）向现有股东派送红股；</w:t>
            </w:r>
          </w:p>
          <w:p w14:paraId="5D27C14A">
            <w:pPr>
              <w:pStyle w:val="25"/>
              <w:keepNext w:val="0"/>
              <w:keepLines w:val="0"/>
              <w:pageBreakBefore w:val="0"/>
              <w:widowControl w:val="0"/>
              <w:kinsoku/>
              <w:wordWrap/>
              <w:overflowPunct/>
              <w:topLinePunct w:val="0"/>
              <w:autoSpaceDE/>
              <w:autoSpaceDN/>
              <w:bidi w:val="0"/>
              <w:spacing w:line="240" w:lineRule="auto"/>
              <w:ind w:left="0" w:leftChars="0" w:right="0"/>
              <w:textAlignment w:val="auto"/>
              <w:rPr>
                <w:sz w:val="21"/>
                <w:szCs w:val="21"/>
              </w:rPr>
            </w:pPr>
            <w:r>
              <w:rPr>
                <w:spacing w:val="-1"/>
                <w:sz w:val="21"/>
                <w:szCs w:val="21"/>
              </w:rPr>
              <w:t>（四）以公积金转增股本；</w:t>
            </w:r>
          </w:p>
          <w:p w14:paraId="4B314349">
            <w:pPr>
              <w:pStyle w:val="25"/>
              <w:keepNext w:val="0"/>
              <w:keepLines w:val="0"/>
              <w:pageBreakBefore w:val="0"/>
              <w:widowControl w:val="0"/>
              <w:kinsoku/>
              <w:wordWrap/>
              <w:overflowPunct/>
              <w:topLinePunct w:val="0"/>
              <w:autoSpaceDE/>
              <w:autoSpaceDN/>
              <w:bidi w:val="0"/>
              <w:spacing w:line="240" w:lineRule="auto"/>
              <w:ind w:left="0" w:leftChars="0" w:right="0" w:rightChars="0" w:firstLine="4" w:firstLineChars="0"/>
              <w:textAlignment w:val="auto"/>
              <w:rPr>
                <w:rFonts w:ascii="宋体" w:hAnsi="宋体" w:eastAsia="宋体" w:cs="宋体"/>
                <w:kern w:val="2"/>
                <w:sz w:val="21"/>
                <w:szCs w:val="21"/>
                <w:lang w:val="en-US" w:eastAsia="en-US" w:bidi="ar-SA"/>
              </w:rPr>
            </w:pPr>
            <w:r>
              <w:rPr>
                <w:spacing w:val="-4"/>
                <w:sz w:val="21"/>
                <w:szCs w:val="21"/>
              </w:rPr>
              <w:t>（五）法律、行政法规规定以及中国证监会</w:t>
            </w:r>
            <w:r>
              <w:rPr>
                <w:rFonts w:hint="eastAsia"/>
                <w:b/>
                <w:bCs/>
                <w:color w:val="auto"/>
                <w:spacing w:val="-4"/>
                <w:sz w:val="21"/>
                <w:szCs w:val="21"/>
                <w:lang w:val="en-US" w:eastAsia="zh-CN"/>
              </w:rPr>
              <w:t>规定</w:t>
            </w:r>
            <w:r>
              <w:rPr>
                <w:spacing w:val="-4"/>
                <w:sz w:val="21"/>
                <w:szCs w:val="21"/>
              </w:rPr>
              <w:t>的其他方式。</w:t>
            </w:r>
          </w:p>
        </w:tc>
      </w:tr>
      <w:tr w14:paraId="1C631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auto"/>
            <w:vAlign w:val="top"/>
          </w:tcPr>
          <w:p w14:paraId="673B49C0">
            <w:pPr>
              <w:pStyle w:val="25"/>
              <w:keepNext w:val="0"/>
              <w:keepLines w:val="0"/>
              <w:pageBreakBefore w:val="0"/>
              <w:widowControl w:val="0"/>
              <w:kinsoku/>
              <w:wordWrap/>
              <w:overflowPunct/>
              <w:topLinePunct w:val="0"/>
              <w:autoSpaceDE/>
              <w:autoSpaceDN/>
              <w:bidi w:val="0"/>
              <w:spacing w:line="240" w:lineRule="auto"/>
              <w:ind w:left="0" w:leftChars="0" w:right="0"/>
              <w:jc w:val="both"/>
              <w:textAlignment w:val="auto"/>
              <w:rPr>
                <w:rFonts w:hint="eastAsia"/>
                <w:spacing w:val="5"/>
                <w:sz w:val="21"/>
                <w:szCs w:val="21"/>
                <w:lang w:val="en-US" w:eastAsia="zh-CN"/>
              </w:rPr>
            </w:pPr>
            <w:r>
              <w:rPr>
                <w:spacing w:val="5"/>
                <w:sz w:val="21"/>
                <w:szCs w:val="21"/>
              </w:rPr>
              <w:t>第二十</w:t>
            </w:r>
            <w:r>
              <w:rPr>
                <w:rFonts w:hint="eastAsia"/>
                <w:spacing w:val="5"/>
                <w:sz w:val="21"/>
                <w:szCs w:val="21"/>
                <w:lang w:val="en-US" w:eastAsia="zh-CN"/>
              </w:rPr>
              <w:t>五</w:t>
            </w:r>
            <w:r>
              <w:rPr>
                <w:spacing w:val="5"/>
                <w:sz w:val="21"/>
                <w:szCs w:val="21"/>
              </w:rPr>
              <w:t>条</w:t>
            </w:r>
            <w:r>
              <w:rPr>
                <w:rFonts w:hint="eastAsia"/>
                <w:spacing w:val="5"/>
                <w:sz w:val="21"/>
                <w:szCs w:val="21"/>
                <w:lang w:val="en-US" w:eastAsia="zh-CN"/>
              </w:rPr>
              <w:t xml:space="preserve">  </w:t>
            </w:r>
            <w:r>
              <w:rPr>
                <w:rFonts w:hint="eastAsia" w:ascii="Times New Roman" w:hAnsi="Times New Roman" w:cs="Times New Roman"/>
                <w:b w:val="0"/>
                <w:bCs w:val="0"/>
                <w:color w:val="000000"/>
                <w:sz w:val="21"/>
                <w:szCs w:val="21"/>
              </w:rPr>
              <w:t>……</w:t>
            </w:r>
          </w:p>
          <w:p w14:paraId="752F0F03">
            <w:pPr>
              <w:pStyle w:val="25"/>
              <w:keepNext w:val="0"/>
              <w:keepLines w:val="0"/>
              <w:pageBreakBefore w:val="0"/>
              <w:widowControl w:val="0"/>
              <w:kinsoku/>
              <w:wordWrap/>
              <w:overflowPunct/>
              <w:topLinePunct w:val="0"/>
              <w:autoSpaceDE/>
              <w:autoSpaceDN/>
              <w:bidi w:val="0"/>
              <w:spacing w:line="240" w:lineRule="auto"/>
              <w:ind w:left="0" w:leftChars="0" w:right="0" w:firstLine="420" w:firstLineChars="200"/>
              <w:jc w:val="both"/>
              <w:textAlignment w:val="auto"/>
              <w:rPr>
                <w:spacing w:val="5"/>
                <w:sz w:val="21"/>
                <w:szCs w:val="21"/>
              </w:rPr>
            </w:pPr>
            <w:r>
              <w:rPr>
                <w:rFonts w:hint="eastAsia" w:ascii="Times New Roman" w:hAnsi="Times New Roman" w:cs="Times New Roman"/>
                <w:sz w:val="21"/>
                <w:szCs w:val="21"/>
              </w:rPr>
              <w:t>公司因本章程第二十</w:t>
            </w:r>
            <w:r>
              <w:rPr>
                <w:rFonts w:hint="eastAsia" w:ascii="Times New Roman" w:hAnsi="Times New Roman" w:cs="Times New Roman"/>
                <w:b/>
                <w:bCs/>
                <w:color w:val="auto"/>
                <w:sz w:val="21"/>
                <w:szCs w:val="21"/>
              </w:rPr>
              <w:t>四</w:t>
            </w:r>
            <w:r>
              <w:rPr>
                <w:rFonts w:hint="eastAsia" w:ascii="Times New Roman" w:hAnsi="Times New Roman" w:cs="Times New Roman"/>
                <w:sz w:val="21"/>
                <w:szCs w:val="21"/>
              </w:rPr>
              <w:t>条第（三）项、第（五）项、第（六）项规定的情形收购本公司股份的，应当通过</w:t>
            </w:r>
            <w:r>
              <w:rPr>
                <w:rFonts w:hint="eastAsia" w:ascii="Times New Roman" w:hAnsi="Times New Roman" w:cs="Times New Roman"/>
                <w:b/>
                <w:bCs/>
                <w:color w:val="auto"/>
                <w:sz w:val="21"/>
                <w:szCs w:val="21"/>
              </w:rPr>
              <w:t>证券交易所</w:t>
            </w:r>
            <w:r>
              <w:rPr>
                <w:rFonts w:hint="eastAsia" w:ascii="Times New Roman" w:hAnsi="Times New Roman" w:cs="Times New Roman"/>
                <w:color w:val="auto"/>
                <w:sz w:val="21"/>
                <w:szCs w:val="21"/>
              </w:rPr>
              <w:t>集中</w:t>
            </w:r>
            <w:r>
              <w:rPr>
                <w:rFonts w:hint="eastAsia" w:ascii="Times New Roman" w:hAnsi="Times New Roman" w:cs="Times New Roman"/>
                <w:b/>
                <w:bCs/>
                <w:strike/>
                <w:dstrike w:val="0"/>
                <w:color w:val="auto"/>
                <w:sz w:val="21"/>
                <w:szCs w:val="21"/>
              </w:rPr>
              <w:t>竞价</w:t>
            </w:r>
            <w:r>
              <w:rPr>
                <w:rFonts w:hint="eastAsia" w:ascii="Times New Roman" w:hAnsi="Times New Roman" w:cs="Times New Roman"/>
                <w:sz w:val="21"/>
                <w:szCs w:val="21"/>
              </w:rPr>
              <w:t>交易方式进行。</w:t>
            </w:r>
          </w:p>
        </w:tc>
        <w:tc>
          <w:tcPr>
            <w:tcW w:w="4335" w:type="dxa"/>
            <w:tcBorders>
              <w:top w:val="single" w:color="000000" w:sz="4" w:space="0"/>
              <w:left w:val="single" w:color="000000" w:sz="4" w:space="0"/>
              <w:bottom w:val="single" w:color="000000" w:sz="4" w:space="0"/>
              <w:right w:val="single" w:color="000000" w:sz="12" w:space="0"/>
            </w:tcBorders>
            <w:shd w:val="clear" w:color="auto" w:fill="auto"/>
            <w:vAlign w:val="top"/>
          </w:tcPr>
          <w:p w14:paraId="689BA7B1">
            <w:pPr>
              <w:pStyle w:val="25"/>
              <w:keepNext w:val="0"/>
              <w:keepLines w:val="0"/>
              <w:pageBreakBefore w:val="0"/>
              <w:widowControl w:val="0"/>
              <w:kinsoku/>
              <w:wordWrap/>
              <w:overflowPunct/>
              <w:topLinePunct w:val="0"/>
              <w:autoSpaceDE/>
              <w:autoSpaceDN/>
              <w:bidi w:val="0"/>
              <w:spacing w:line="240" w:lineRule="auto"/>
              <w:ind w:left="0" w:leftChars="0" w:right="0"/>
              <w:jc w:val="both"/>
              <w:textAlignment w:val="auto"/>
              <w:rPr>
                <w:rFonts w:hint="eastAsia"/>
                <w:spacing w:val="5"/>
                <w:sz w:val="21"/>
                <w:szCs w:val="21"/>
                <w:lang w:val="en-US" w:eastAsia="zh-CN"/>
              </w:rPr>
            </w:pPr>
            <w:r>
              <w:rPr>
                <w:spacing w:val="5"/>
                <w:sz w:val="21"/>
                <w:szCs w:val="21"/>
              </w:rPr>
              <w:t>第二十</w:t>
            </w:r>
            <w:r>
              <w:rPr>
                <w:rFonts w:hint="eastAsia"/>
                <w:spacing w:val="5"/>
                <w:sz w:val="21"/>
                <w:szCs w:val="21"/>
                <w:lang w:val="en-US" w:eastAsia="zh-CN"/>
              </w:rPr>
              <w:t>六</w:t>
            </w:r>
            <w:r>
              <w:rPr>
                <w:spacing w:val="5"/>
                <w:sz w:val="21"/>
                <w:szCs w:val="21"/>
              </w:rPr>
              <w:t>条</w:t>
            </w:r>
            <w:r>
              <w:rPr>
                <w:rFonts w:hint="eastAsia"/>
                <w:spacing w:val="5"/>
                <w:sz w:val="21"/>
                <w:szCs w:val="21"/>
                <w:lang w:val="en-US" w:eastAsia="zh-CN"/>
              </w:rPr>
              <w:t xml:space="preserve">  </w:t>
            </w:r>
            <w:r>
              <w:rPr>
                <w:rFonts w:hint="eastAsia" w:ascii="Times New Roman" w:hAnsi="Times New Roman" w:cs="Times New Roman"/>
                <w:b w:val="0"/>
                <w:bCs w:val="0"/>
                <w:color w:val="000000"/>
                <w:sz w:val="21"/>
                <w:szCs w:val="21"/>
              </w:rPr>
              <w:t>……</w:t>
            </w:r>
          </w:p>
          <w:p w14:paraId="31685CD9">
            <w:pPr>
              <w:pStyle w:val="25"/>
              <w:keepNext w:val="0"/>
              <w:keepLines w:val="0"/>
              <w:pageBreakBefore w:val="0"/>
              <w:widowControl w:val="0"/>
              <w:kinsoku/>
              <w:wordWrap/>
              <w:overflowPunct/>
              <w:topLinePunct w:val="0"/>
              <w:autoSpaceDE/>
              <w:autoSpaceDN/>
              <w:bidi w:val="0"/>
              <w:spacing w:line="240" w:lineRule="auto"/>
              <w:ind w:left="0" w:leftChars="0" w:right="0" w:firstLine="420" w:firstLineChars="200"/>
              <w:jc w:val="both"/>
              <w:textAlignment w:val="auto"/>
              <w:rPr>
                <w:spacing w:val="3"/>
                <w:sz w:val="21"/>
                <w:szCs w:val="21"/>
              </w:rPr>
            </w:pPr>
            <w:r>
              <w:rPr>
                <w:rFonts w:hint="eastAsia" w:ascii="Times New Roman" w:hAnsi="Times New Roman" w:cs="Times New Roman"/>
                <w:sz w:val="21"/>
                <w:szCs w:val="21"/>
              </w:rPr>
              <w:t>公司因本章程第二十</w:t>
            </w:r>
            <w:r>
              <w:rPr>
                <w:rFonts w:hint="eastAsia" w:ascii="Times New Roman" w:hAnsi="Times New Roman" w:cs="Times New Roman"/>
                <w:b/>
                <w:bCs/>
                <w:color w:val="auto"/>
                <w:sz w:val="21"/>
                <w:szCs w:val="21"/>
                <w:lang w:val="en-US" w:eastAsia="zh-CN"/>
              </w:rPr>
              <w:t>五</w:t>
            </w:r>
            <w:r>
              <w:rPr>
                <w:rFonts w:hint="eastAsia" w:ascii="Times New Roman" w:hAnsi="Times New Roman" w:cs="Times New Roman"/>
                <w:sz w:val="21"/>
                <w:szCs w:val="21"/>
              </w:rPr>
              <w:t>条</w:t>
            </w:r>
            <w:r>
              <w:rPr>
                <w:rFonts w:hint="eastAsia" w:ascii="Times New Roman" w:hAnsi="Times New Roman" w:cs="Times New Roman"/>
                <w:b/>
                <w:bCs/>
                <w:color w:val="auto"/>
                <w:sz w:val="21"/>
                <w:szCs w:val="21"/>
                <w:lang w:val="en-US" w:eastAsia="zh-CN"/>
              </w:rPr>
              <w:t>第一款</w:t>
            </w:r>
            <w:r>
              <w:rPr>
                <w:rFonts w:hint="eastAsia" w:ascii="Times New Roman" w:hAnsi="Times New Roman" w:cs="Times New Roman"/>
                <w:sz w:val="21"/>
                <w:szCs w:val="21"/>
              </w:rPr>
              <w:t>第（三）项、第（五）项、第（六）项规定的情形收购本公司股份的，应当通过</w:t>
            </w:r>
            <w:r>
              <w:rPr>
                <w:rFonts w:hint="eastAsia" w:ascii="Times New Roman" w:hAnsi="Times New Roman" w:cs="Times New Roman"/>
                <w:b/>
                <w:bCs/>
                <w:color w:val="auto"/>
                <w:sz w:val="21"/>
                <w:szCs w:val="21"/>
                <w:lang w:val="en-US" w:eastAsia="zh-CN"/>
              </w:rPr>
              <w:t>公开的</w:t>
            </w:r>
            <w:r>
              <w:rPr>
                <w:rFonts w:hint="eastAsia" w:ascii="Times New Roman" w:hAnsi="Times New Roman" w:cs="Times New Roman"/>
                <w:color w:val="auto"/>
                <w:sz w:val="21"/>
                <w:szCs w:val="21"/>
              </w:rPr>
              <w:t>集中交易</w:t>
            </w:r>
            <w:r>
              <w:rPr>
                <w:rFonts w:hint="eastAsia" w:ascii="Times New Roman" w:hAnsi="Times New Roman" w:cs="Times New Roman"/>
                <w:sz w:val="21"/>
                <w:szCs w:val="21"/>
              </w:rPr>
              <w:t>方式进行。</w:t>
            </w:r>
          </w:p>
        </w:tc>
      </w:tr>
      <w:tr w14:paraId="72ABA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auto"/>
            <w:vAlign w:val="top"/>
          </w:tcPr>
          <w:p w14:paraId="617A5E5C">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right="0"/>
              <w:jc w:val="both"/>
              <w:textAlignment w:val="auto"/>
              <w:rPr>
                <w:rFonts w:ascii="Times New Roman" w:hAnsi="Times New Roman" w:cs="Times New Roman"/>
                <w:sz w:val="21"/>
                <w:szCs w:val="21"/>
              </w:rPr>
            </w:pPr>
            <w:r>
              <w:rPr>
                <w:spacing w:val="-6"/>
                <w:sz w:val="21"/>
                <w:szCs w:val="21"/>
              </w:rPr>
              <w:t>第二十九条</w:t>
            </w:r>
            <w:r>
              <w:rPr>
                <w:rFonts w:hint="eastAsia"/>
                <w:spacing w:val="-6"/>
                <w:sz w:val="21"/>
                <w:szCs w:val="21"/>
                <w:lang w:val="en-US" w:eastAsia="zh-CN"/>
              </w:rPr>
              <w:t xml:space="preserve">  </w:t>
            </w:r>
            <w:r>
              <w:rPr>
                <w:b/>
                <w:bCs/>
                <w:strike/>
                <w:dstrike w:val="0"/>
                <w:spacing w:val="-6"/>
                <w:sz w:val="21"/>
                <w:szCs w:val="21"/>
              </w:rPr>
              <w:t>发</w:t>
            </w:r>
            <w:r>
              <w:rPr>
                <w:rFonts w:ascii="Times New Roman" w:hAnsi="Times New Roman" w:cs="Times New Roman"/>
                <w:b/>
                <w:bCs/>
                <w:strike/>
                <w:dstrike w:val="0"/>
                <w:sz w:val="21"/>
                <w:szCs w:val="21"/>
              </w:rPr>
              <w:t>起人持有的本公司股份，自公司成立之日起</w:t>
            </w:r>
            <w:r>
              <w:rPr>
                <w:rFonts w:hint="default" w:ascii="Times New Roman" w:hAnsi="Times New Roman" w:cs="Times New Roman"/>
                <w:b/>
                <w:bCs/>
                <w:strike/>
                <w:dstrike w:val="0"/>
                <w:sz w:val="21"/>
                <w:szCs w:val="21"/>
              </w:rPr>
              <w:t>1</w:t>
            </w:r>
            <w:r>
              <w:rPr>
                <w:rFonts w:ascii="Times New Roman" w:hAnsi="Times New Roman" w:cs="Times New Roman"/>
                <w:b/>
                <w:bCs/>
                <w:strike/>
                <w:dstrike w:val="0"/>
                <w:sz w:val="21"/>
                <w:szCs w:val="21"/>
              </w:rPr>
              <w:t>年内不得转让。</w:t>
            </w:r>
            <w:r>
              <w:rPr>
                <w:rFonts w:ascii="Times New Roman" w:hAnsi="Times New Roman" w:cs="Times New Roman"/>
                <w:sz w:val="21"/>
                <w:szCs w:val="21"/>
              </w:rPr>
              <w:t>公司公开发行股份前已发行的股份，自公司股票在证券交易所上市交易之日起</w:t>
            </w:r>
            <w:r>
              <w:rPr>
                <w:rFonts w:hint="default" w:ascii="Times New Roman" w:hAnsi="Times New Roman" w:cs="Times New Roman"/>
                <w:sz w:val="21"/>
                <w:szCs w:val="21"/>
              </w:rPr>
              <w:t>1</w:t>
            </w:r>
            <w:r>
              <w:rPr>
                <w:rFonts w:ascii="Times New Roman" w:hAnsi="Times New Roman" w:cs="Times New Roman"/>
                <w:sz w:val="21"/>
                <w:szCs w:val="21"/>
              </w:rPr>
              <w:t>年内不得转让。</w:t>
            </w:r>
          </w:p>
          <w:p w14:paraId="42FE31C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sz w:val="21"/>
                <w:szCs w:val="21"/>
              </w:rPr>
            </w:pPr>
            <w:r>
              <w:rPr>
                <w:rFonts w:ascii="Times New Roman" w:hAnsi="Times New Roman" w:cs="Times New Roman"/>
                <w:sz w:val="21"/>
                <w:szCs w:val="21"/>
              </w:rPr>
              <w:t>公司董事、</w:t>
            </w:r>
            <w:r>
              <w:rPr>
                <w:rFonts w:ascii="Times New Roman" w:hAnsi="Times New Roman" w:cs="Times New Roman"/>
                <w:b/>
                <w:bCs/>
                <w:strike/>
                <w:dstrike w:val="0"/>
                <w:sz w:val="21"/>
                <w:szCs w:val="21"/>
              </w:rPr>
              <w:t>监事、</w:t>
            </w:r>
            <w:r>
              <w:rPr>
                <w:rFonts w:ascii="Times New Roman" w:hAnsi="Times New Roman" w:cs="Times New Roman"/>
                <w:sz w:val="21"/>
                <w:szCs w:val="21"/>
              </w:rPr>
              <w:t>高级管理人员应当向公司申报所持有的本公司股份及其变动情况，在任职期间每年转让的股份不得超过其所持有本公司股份总数的</w:t>
            </w:r>
            <w:r>
              <w:rPr>
                <w:rFonts w:hint="default" w:ascii="Times New Roman" w:hAnsi="Times New Roman" w:cs="Times New Roman"/>
                <w:sz w:val="21"/>
                <w:szCs w:val="21"/>
              </w:rPr>
              <w:t>25</w:t>
            </w:r>
            <w:r>
              <w:rPr>
                <w:rFonts w:ascii="Times New Roman" w:hAnsi="Times New Roman" w:cs="Times New Roman"/>
                <w:sz w:val="21"/>
                <w:szCs w:val="21"/>
              </w:rPr>
              <w:t>%；所持公司股份自公司股票上市交易之日起</w:t>
            </w:r>
            <w:r>
              <w:rPr>
                <w:rFonts w:hint="default" w:ascii="Times New Roman" w:hAnsi="Times New Roman" w:cs="Times New Roman"/>
                <w:sz w:val="21"/>
                <w:szCs w:val="21"/>
              </w:rPr>
              <w:t>1</w:t>
            </w:r>
            <w:r>
              <w:rPr>
                <w:rFonts w:ascii="Times New Roman" w:hAnsi="Times New Roman" w:cs="Times New Roman"/>
                <w:sz w:val="21"/>
                <w:szCs w:val="21"/>
              </w:rPr>
              <w:t>年内不得转让。上述人员离职后半年内，不得转让所持有的公司股份。</w:t>
            </w:r>
          </w:p>
          <w:p w14:paraId="57F276C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bCs/>
                <w:strike/>
                <w:dstrike w:val="0"/>
                <w:sz w:val="21"/>
                <w:szCs w:val="21"/>
              </w:rPr>
            </w:pPr>
            <w:r>
              <w:rPr>
                <w:rFonts w:ascii="Times New Roman" w:hAnsi="Times New Roman" w:cs="Times New Roman"/>
                <w:b/>
                <w:bCs/>
                <w:strike/>
                <w:dstrike w:val="0"/>
                <w:sz w:val="21"/>
                <w:szCs w:val="21"/>
              </w:rPr>
              <w:t>公司董事、监事、高级管理人员在首次公开发行股票上市之日起</w:t>
            </w:r>
            <w:r>
              <w:rPr>
                <w:rFonts w:hint="default" w:ascii="Times New Roman" w:hAnsi="Times New Roman" w:cs="Times New Roman"/>
                <w:b/>
                <w:bCs/>
                <w:strike/>
                <w:dstrike w:val="0"/>
                <w:sz w:val="21"/>
                <w:szCs w:val="21"/>
              </w:rPr>
              <w:t>6</w:t>
            </w:r>
            <w:r>
              <w:rPr>
                <w:rFonts w:ascii="Times New Roman" w:hAnsi="Times New Roman" w:cs="Times New Roman"/>
                <w:b/>
                <w:bCs/>
                <w:strike/>
                <w:dstrike w:val="0"/>
                <w:sz w:val="21"/>
                <w:szCs w:val="21"/>
              </w:rPr>
              <w:t>个月内申报离职的，自申报离职之日起</w:t>
            </w:r>
            <w:r>
              <w:rPr>
                <w:rFonts w:hint="default" w:ascii="Times New Roman" w:hAnsi="Times New Roman" w:cs="Times New Roman"/>
                <w:b/>
                <w:bCs/>
                <w:strike/>
                <w:dstrike w:val="0"/>
                <w:sz w:val="21"/>
                <w:szCs w:val="21"/>
              </w:rPr>
              <w:t>18</w:t>
            </w:r>
            <w:r>
              <w:rPr>
                <w:rFonts w:ascii="Times New Roman" w:hAnsi="Times New Roman" w:cs="Times New Roman"/>
                <w:b/>
                <w:bCs/>
                <w:strike/>
                <w:dstrike w:val="0"/>
                <w:sz w:val="21"/>
                <w:szCs w:val="21"/>
              </w:rPr>
              <w:t>个月内不得转让其直接持有的本公司股份；在首次公开发行股票上市之日起第</w:t>
            </w:r>
            <w:r>
              <w:rPr>
                <w:rFonts w:hint="default" w:ascii="Times New Roman" w:hAnsi="Times New Roman" w:cs="Times New Roman"/>
                <w:b/>
                <w:bCs/>
                <w:strike/>
                <w:dstrike w:val="0"/>
                <w:sz w:val="21"/>
                <w:szCs w:val="21"/>
              </w:rPr>
              <w:t>7</w:t>
            </w:r>
            <w:r>
              <w:rPr>
                <w:rFonts w:ascii="Times New Roman" w:hAnsi="Times New Roman" w:cs="Times New Roman"/>
                <w:b/>
                <w:bCs/>
                <w:strike/>
                <w:dstrike w:val="0"/>
                <w:sz w:val="21"/>
                <w:szCs w:val="21"/>
              </w:rPr>
              <w:t>个月至第</w:t>
            </w:r>
            <w:r>
              <w:rPr>
                <w:rFonts w:hint="default" w:ascii="Times New Roman" w:hAnsi="Times New Roman" w:cs="Times New Roman"/>
                <w:b/>
                <w:bCs/>
                <w:strike/>
                <w:dstrike w:val="0"/>
                <w:sz w:val="21"/>
                <w:szCs w:val="21"/>
              </w:rPr>
              <w:t>12</w:t>
            </w:r>
            <w:r>
              <w:rPr>
                <w:rFonts w:ascii="Times New Roman" w:hAnsi="Times New Roman" w:cs="Times New Roman"/>
                <w:b/>
                <w:bCs/>
                <w:strike/>
                <w:dstrike w:val="0"/>
                <w:sz w:val="21"/>
                <w:szCs w:val="21"/>
              </w:rPr>
              <w:t>个月之间申报离职的，自申报离职之日起</w:t>
            </w:r>
            <w:r>
              <w:rPr>
                <w:rFonts w:hint="default" w:ascii="Times New Roman" w:hAnsi="Times New Roman" w:cs="Times New Roman"/>
                <w:b/>
                <w:bCs/>
                <w:strike/>
                <w:dstrike w:val="0"/>
                <w:sz w:val="21"/>
                <w:szCs w:val="21"/>
              </w:rPr>
              <w:t>12</w:t>
            </w:r>
            <w:r>
              <w:rPr>
                <w:rFonts w:ascii="Times New Roman" w:hAnsi="Times New Roman" w:cs="Times New Roman"/>
                <w:b/>
                <w:bCs/>
                <w:strike/>
                <w:dstrike w:val="0"/>
                <w:sz w:val="21"/>
                <w:szCs w:val="21"/>
              </w:rPr>
              <w:t>个月内不得转让其直接持有的本公司股份；在首次公开发行股票上市之日起第</w:t>
            </w:r>
            <w:r>
              <w:rPr>
                <w:rFonts w:hint="default" w:ascii="Times New Roman" w:hAnsi="Times New Roman" w:cs="Times New Roman"/>
                <w:b/>
                <w:bCs/>
                <w:strike/>
                <w:dstrike w:val="0"/>
                <w:sz w:val="21"/>
                <w:szCs w:val="21"/>
              </w:rPr>
              <w:t>12</w:t>
            </w:r>
            <w:r>
              <w:rPr>
                <w:rFonts w:ascii="Times New Roman" w:hAnsi="Times New Roman" w:cs="Times New Roman"/>
                <w:b/>
                <w:bCs/>
                <w:strike/>
                <w:dstrike w:val="0"/>
                <w:sz w:val="21"/>
                <w:szCs w:val="21"/>
              </w:rPr>
              <w:t>个月后申报离职的，自申报离职之日起</w:t>
            </w:r>
            <w:r>
              <w:rPr>
                <w:rFonts w:hint="default" w:ascii="Times New Roman" w:hAnsi="Times New Roman" w:cs="Times New Roman"/>
                <w:b/>
                <w:bCs/>
                <w:strike/>
                <w:dstrike w:val="0"/>
                <w:sz w:val="21"/>
                <w:szCs w:val="21"/>
              </w:rPr>
              <w:t>6</w:t>
            </w:r>
            <w:r>
              <w:rPr>
                <w:rFonts w:ascii="Times New Roman" w:hAnsi="Times New Roman" w:cs="Times New Roman"/>
                <w:b/>
                <w:bCs/>
                <w:strike/>
                <w:dstrike w:val="0"/>
                <w:sz w:val="21"/>
                <w:szCs w:val="21"/>
              </w:rPr>
              <w:t>个月内不得转让其持有的本公司股份。</w:t>
            </w:r>
          </w:p>
          <w:p w14:paraId="399B3185">
            <w:pPr>
              <w:pStyle w:val="25"/>
              <w:keepNext w:val="0"/>
              <w:keepLines w:val="0"/>
              <w:pageBreakBefore w:val="0"/>
              <w:widowControl w:val="0"/>
              <w:kinsoku/>
              <w:wordWrap/>
              <w:overflowPunct/>
              <w:topLinePunct w:val="0"/>
              <w:autoSpaceDE/>
              <w:autoSpaceDN/>
              <w:bidi w:val="0"/>
              <w:spacing w:line="240" w:lineRule="auto"/>
              <w:ind w:left="0" w:leftChars="0" w:right="0" w:firstLine="422" w:firstLineChars="200"/>
              <w:jc w:val="both"/>
              <w:textAlignment w:val="auto"/>
              <w:rPr>
                <w:rFonts w:ascii="宋体" w:hAnsi="宋体" w:eastAsia="宋体" w:cs="宋体"/>
                <w:kern w:val="2"/>
                <w:sz w:val="21"/>
                <w:szCs w:val="21"/>
                <w:lang w:val="en-US" w:eastAsia="en-US" w:bidi="ar-SA"/>
              </w:rPr>
            </w:pPr>
            <w:r>
              <w:rPr>
                <w:rFonts w:ascii="Times New Roman" w:hAnsi="Times New Roman" w:cs="Times New Roman"/>
                <w:b/>
                <w:bCs/>
                <w:strike/>
                <w:dstrike w:val="0"/>
                <w:sz w:val="21"/>
                <w:szCs w:val="21"/>
              </w:rPr>
              <w:t>因公司进行权益分派等导致董事、监事和高级管理人员直接持有本公司股份发生变化的，仍应遵守上述规定。</w:t>
            </w:r>
          </w:p>
        </w:tc>
        <w:tc>
          <w:tcPr>
            <w:tcW w:w="4335" w:type="dxa"/>
            <w:tcBorders>
              <w:top w:val="single" w:color="000000" w:sz="4" w:space="0"/>
              <w:left w:val="single" w:color="000000" w:sz="4" w:space="0"/>
              <w:bottom w:val="single" w:color="000000" w:sz="4" w:space="0"/>
              <w:right w:val="single" w:color="000000" w:sz="12" w:space="0"/>
            </w:tcBorders>
            <w:shd w:val="clear" w:color="auto" w:fill="auto"/>
            <w:vAlign w:val="top"/>
          </w:tcPr>
          <w:p w14:paraId="0715AD56">
            <w:pPr>
              <w:pStyle w:val="25"/>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sz w:val="21"/>
                <w:szCs w:val="21"/>
              </w:rPr>
            </w:pPr>
            <w:r>
              <w:rPr>
                <w:spacing w:val="-4"/>
                <w:sz w:val="21"/>
                <w:szCs w:val="21"/>
              </w:rPr>
              <w:t>第三十条</w:t>
            </w:r>
            <w:r>
              <w:rPr>
                <w:rFonts w:hint="eastAsia"/>
                <w:spacing w:val="-4"/>
                <w:sz w:val="21"/>
                <w:szCs w:val="21"/>
                <w:lang w:val="en-US" w:eastAsia="zh-CN"/>
              </w:rPr>
              <w:t xml:space="preserve">  </w:t>
            </w:r>
            <w:r>
              <w:rPr>
                <w:spacing w:val="-4"/>
                <w:sz w:val="21"/>
                <w:szCs w:val="21"/>
              </w:rPr>
              <w:t>公</w:t>
            </w:r>
            <w:r>
              <w:rPr>
                <w:rFonts w:ascii="Times New Roman" w:hAnsi="Times New Roman" w:cs="Times New Roman"/>
                <w:sz w:val="21"/>
                <w:szCs w:val="21"/>
              </w:rPr>
              <w:t>司公开发行股份前已发行的股份，自公司股票在证券交易所上市交易之日起</w:t>
            </w:r>
            <w:r>
              <w:rPr>
                <w:rFonts w:hint="default" w:ascii="Times New Roman" w:hAnsi="Times New Roman" w:cs="Times New Roman"/>
                <w:sz w:val="21"/>
                <w:szCs w:val="21"/>
              </w:rPr>
              <w:t>1</w:t>
            </w:r>
            <w:r>
              <w:rPr>
                <w:rFonts w:ascii="Times New Roman" w:hAnsi="Times New Roman" w:cs="Times New Roman"/>
                <w:sz w:val="21"/>
                <w:szCs w:val="21"/>
              </w:rPr>
              <w:t>年内不得转让</w:t>
            </w:r>
            <w:r>
              <w:rPr>
                <w:spacing w:val="-4"/>
                <w:sz w:val="21"/>
                <w:szCs w:val="21"/>
              </w:rPr>
              <w:t>。</w:t>
            </w:r>
          </w:p>
          <w:p w14:paraId="4839CC31">
            <w:pPr>
              <w:pStyle w:val="25"/>
              <w:keepNext w:val="0"/>
              <w:keepLines w:val="0"/>
              <w:pageBreakBefore w:val="0"/>
              <w:widowControl w:val="0"/>
              <w:kinsoku/>
              <w:wordWrap/>
              <w:overflowPunct/>
              <w:topLinePunct w:val="0"/>
              <w:autoSpaceDE/>
              <w:autoSpaceDN/>
              <w:bidi w:val="0"/>
              <w:adjustRightInd/>
              <w:snapToGrid/>
              <w:spacing w:line="240" w:lineRule="auto"/>
              <w:ind w:left="0" w:leftChars="0" w:right="0" w:firstLine="420" w:firstLineChars="200"/>
              <w:jc w:val="both"/>
              <w:textAlignment w:val="auto"/>
              <w:rPr>
                <w:rFonts w:hint="eastAsia" w:ascii="宋体" w:hAnsi="宋体" w:eastAsia="宋体" w:cs="宋体"/>
                <w:kern w:val="2"/>
                <w:sz w:val="21"/>
                <w:szCs w:val="21"/>
                <w:lang w:val="en-US" w:eastAsia="zh-CN" w:bidi="ar-SA"/>
              </w:rPr>
            </w:pPr>
            <w:r>
              <w:rPr>
                <w:rFonts w:ascii="Times New Roman" w:hAnsi="Times New Roman" w:cs="Times New Roman"/>
                <w:sz w:val="21"/>
                <w:szCs w:val="21"/>
              </w:rPr>
              <w:t>公司董事、高级管理人员应当向公司申报所持有的本公司股份及其变动情况，在</w:t>
            </w:r>
            <w:r>
              <w:rPr>
                <w:rFonts w:hint="eastAsia" w:ascii="Times New Roman" w:hAnsi="Times New Roman" w:cs="Times New Roman"/>
                <w:b/>
                <w:bCs/>
                <w:color w:val="auto"/>
                <w:sz w:val="21"/>
                <w:szCs w:val="21"/>
                <w:lang w:val="en-US" w:eastAsia="zh-CN"/>
              </w:rPr>
              <w:t>就任时确定的</w:t>
            </w:r>
            <w:r>
              <w:rPr>
                <w:rFonts w:ascii="Times New Roman" w:hAnsi="Times New Roman" w:cs="Times New Roman"/>
                <w:sz w:val="21"/>
                <w:szCs w:val="21"/>
              </w:rPr>
              <w:t>任职期间每年转让的股份不得超过其所持有本公司</w:t>
            </w:r>
            <w:r>
              <w:rPr>
                <w:rFonts w:hint="eastAsia" w:ascii="Times New Roman" w:hAnsi="Times New Roman" w:cs="Times New Roman"/>
                <w:b/>
                <w:bCs/>
                <w:color w:val="auto"/>
                <w:sz w:val="21"/>
                <w:szCs w:val="21"/>
                <w:lang w:val="en-US" w:eastAsia="zh-CN"/>
              </w:rPr>
              <w:t>同一类别</w:t>
            </w:r>
            <w:r>
              <w:rPr>
                <w:rFonts w:ascii="Times New Roman" w:hAnsi="Times New Roman" w:cs="Times New Roman"/>
                <w:sz w:val="21"/>
                <w:szCs w:val="21"/>
              </w:rPr>
              <w:t>股份总数的</w:t>
            </w:r>
            <w:r>
              <w:rPr>
                <w:rFonts w:hint="default" w:ascii="Times New Roman" w:hAnsi="Times New Roman" w:cs="Times New Roman"/>
                <w:sz w:val="21"/>
                <w:szCs w:val="21"/>
              </w:rPr>
              <w:t>25</w:t>
            </w:r>
            <w:r>
              <w:rPr>
                <w:rFonts w:ascii="Times New Roman" w:hAnsi="Times New Roman" w:cs="Times New Roman"/>
                <w:sz w:val="21"/>
                <w:szCs w:val="21"/>
              </w:rPr>
              <w:t>%；所持公司股份自公司股票上市交易之日起</w:t>
            </w:r>
            <w:r>
              <w:rPr>
                <w:rFonts w:hint="default" w:ascii="Times New Roman" w:hAnsi="Times New Roman" w:cs="Times New Roman"/>
                <w:sz w:val="21"/>
                <w:szCs w:val="21"/>
              </w:rPr>
              <w:t>1</w:t>
            </w:r>
            <w:r>
              <w:rPr>
                <w:rFonts w:ascii="Times New Roman" w:hAnsi="Times New Roman" w:cs="Times New Roman"/>
                <w:sz w:val="21"/>
                <w:szCs w:val="21"/>
              </w:rPr>
              <w:t>年内不得转让。上述人员离职后半年内，不得转让所持有的公司股份</w:t>
            </w:r>
            <w:r>
              <w:rPr>
                <w:rFonts w:hint="eastAsia" w:ascii="Times New Roman" w:hAnsi="Times New Roman" w:cs="Times New Roman"/>
                <w:sz w:val="21"/>
                <w:szCs w:val="21"/>
                <w:lang w:eastAsia="zh-CN"/>
              </w:rPr>
              <w:t>。</w:t>
            </w:r>
          </w:p>
        </w:tc>
      </w:tr>
      <w:tr w14:paraId="70A70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624" w:type="dxa"/>
            <w:gridSpan w:val="3"/>
            <w:tcBorders>
              <w:top w:val="single" w:color="000000" w:sz="4" w:space="0"/>
              <w:left w:val="single" w:color="000000" w:sz="12" w:space="0"/>
              <w:bottom w:val="single" w:color="000000" w:sz="4" w:space="0"/>
              <w:right w:val="single" w:color="000000" w:sz="12" w:space="0"/>
            </w:tcBorders>
            <w:shd w:val="clear" w:color="auto" w:fill="FFFFFF"/>
            <w:vAlign w:val="center"/>
          </w:tcPr>
          <w:p w14:paraId="76AF2154">
            <w:pPr>
              <w:pStyle w:val="2"/>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ascii="Times New Roman" w:hAnsi="Times New Roman" w:cs="Times New Roman"/>
                <w:sz w:val="21"/>
                <w:szCs w:val="21"/>
              </w:rPr>
            </w:pPr>
            <w:bookmarkStart w:id="6" w:name="_Toc13918"/>
            <w:r>
              <w:rPr>
                <w:rFonts w:ascii="Times New Roman" w:hAnsi="Times New Roman" w:cs="Times New Roman"/>
                <w:sz w:val="21"/>
                <w:szCs w:val="21"/>
              </w:rPr>
              <w:t>第四章</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股东和</w:t>
            </w:r>
            <w:r>
              <w:rPr>
                <w:rFonts w:hint="eastAsia" w:ascii="Times New Roman" w:hAnsi="Times New Roman" w:cs="Times New Roman"/>
                <w:b/>
                <w:bCs/>
                <w:sz w:val="21"/>
                <w:szCs w:val="21"/>
                <w:lang w:eastAsia="zh-CN"/>
              </w:rPr>
              <w:t>股东会</w:t>
            </w:r>
            <w:bookmarkEnd w:id="6"/>
          </w:p>
        </w:tc>
      </w:tr>
      <w:tr w14:paraId="6610A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A0BE1F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第三十三条</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000000"/>
                <w:sz w:val="21"/>
                <w:szCs w:val="21"/>
              </w:rPr>
              <w:t>公司股东享有下列权利：</w:t>
            </w:r>
          </w:p>
          <w:p w14:paraId="7B87CBF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p w14:paraId="666DCB67">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查阅本章程、股东名册、公司债券存根、</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会议记录、董事会会议决议、监事会会议决议、财务会计报告；</w:t>
            </w:r>
          </w:p>
          <w:p w14:paraId="15766B8A">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leftChars="200" w:right="0" w:rightChars="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42295A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第三十四条</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000000"/>
                <w:sz w:val="21"/>
                <w:szCs w:val="21"/>
              </w:rPr>
              <w:t>公司股东享有下列权利：</w:t>
            </w:r>
          </w:p>
          <w:p w14:paraId="4C1CAB3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p w14:paraId="46CDDF79">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val="0"/>
                <w:bCs w:val="0"/>
                <w:color w:val="000000"/>
                <w:sz w:val="21"/>
                <w:szCs w:val="21"/>
              </w:rPr>
              <w:t>查阅</w:t>
            </w:r>
            <w:r>
              <w:rPr>
                <w:rFonts w:hint="eastAsia" w:ascii="Times New Roman" w:hAnsi="Times New Roman" w:cs="Times New Roman"/>
                <w:b/>
                <w:bCs/>
                <w:color w:val="auto"/>
                <w:sz w:val="21"/>
                <w:szCs w:val="21"/>
              </w:rPr>
              <w:t>、复制</w:t>
            </w:r>
            <w:r>
              <w:rPr>
                <w:rFonts w:hint="eastAsia" w:ascii="Times New Roman" w:hAnsi="Times New Roman" w:cs="Times New Roman"/>
                <w:b w:val="0"/>
                <w:bCs w:val="0"/>
                <w:color w:val="000000"/>
                <w:sz w:val="21"/>
                <w:szCs w:val="21"/>
              </w:rPr>
              <w:t>公司章程、股东名册、</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会议记录、董事会会议决议、财务会计报告，</w:t>
            </w:r>
            <w:r>
              <w:rPr>
                <w:rFonts w:hint="eastAsia" w:ascii="Times New Roman" w:hAnsi="Times New Roman" w:cs="Times New Roman"/>
                <w:b/>
                <w:bCs/>
                <w:color w:val="auto"/>
                <w:sz w:val="21"/>
                <w:szCs w:val="21"/>
              </w:rPr>
              <w:t>符合规定的股东可以查阅公司的会计账簿、会计凭证；</w:t>
            </w:r>
          </w:p>
          <w:p w14:paraId="0448A080">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leftChars="200" w:right="0" w:rightChars="0" w:firstLine="210" w:firstLineChars="1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r>
      <w:tr w14:paraId="755CC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1C31A16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第三十四条  股东提出查阅前条所述有关信息或者索取资料的，应当向公司提供证明其持有公司股份的种类以及持股数量的书面文件，公司经核实股东身份后按照股东的要求予以提供。</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4680BA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第三十五条  股东</w:t>
            </w:r>
            <w:r>
              <w:rPr>
                <w:rFonts w:hint="eastAsia" w:ascii="Times New Roman" w:hAnsi="Times New Roman" w:cs="Times New Roman"/>
                <w:b/>
                <w:bCs/>
                <w:color w:val="auto"/>
                <w:sz w:val="21"/>
                <w:szCs w:val="21"/>
              </w:rPr>
              <w:t>要求查阅、复制公司有关材料的，应当遵守《公司法》《证券法》等法律、行政法规的规定。</w:t>
            </w:r>
          </w:p>
          <w:p w14:paraId="1DFE5D5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连续</w:t>
            </w:r>
            <w:r>
              <w:rPr>
                <w:rFonts w:hint="default" w:ascii="Times New Roman" w:hAnsi="Times New Roman" w:cs="Times New Roman"/>
                <w:b/>
                <w:bCs/>
                <w:color w:val="auto"/>
                <w:sz w:val="21"/>
                <w:szCs w:val="21"/>
              </w:rPr>
              <w:t>180</w:t>
            </w:r>
            <w:r>
              <w:rPr>
                <w:rFonts w:hint="eastAsia" w:ascii="Times New Roman" w:hAnsi="Times New Roman" w:cs="Times New Roman"/>
                <w:b/>
                <w:bCs/>
                <w:color w:val="auto"/>
                <w:sz w:val="21"/>
                <w:szCs w:val="21"/>
              </w:rPr>
              <w:t>日以上单独或者合计持有公司</w:t>
            </w:r>
            <w:r>
              <w:rPr>
                <w:rFonts w:hint="default" w:ascii="Times New Roman" w:hAnsi="Times New Roman" w:cs="Times New Roman"/>
                <w:b/>
                <w:bCs/>
                <w:color w:val="auto"/>
                <w:sz w:val="21"/>
                <w:szCs w:val="21"/>
              </w:rPr>
              <w:t>3</w:t>
            </w:r>
            <w:r>
              <w:rPr>
                <w:rFonts w:hint="eastAsia" w:ascii="Times New Roman" w:hAnsi="Times New Roman" w:cs="Times New Roman"/>
                <w:b/>
                <w:bCs/>
                <w:color w:val="auto"/>
                <w:sz w:val="21"/>
                <w:szCs w:val="21"/>
              </w:rPr>
              <w:t>%以上股份的股东要求查阅公司的会计账簿、会计凭证的，应当向公司提出书面请求，说明目的。公司有合理根据认为股东查阅会计账簿、会计凭证有不正当目的，可能损害公司合法利益的，可以拒绝提供查阅，并应当自股东提出书面请求之日起</w:t>
            </w:r>
            <w:r>
              <w:rPr>
                <w:rFonts w:hint="default" w:ascii="Times New Roman" w:hAnsi="Times New Roman" w:cs="Times New Roman"/>
                <w:b/>
                <w:bCs/>
                <w:color w:val="auto"/>
                <w:sz w:val="21"/>
                <w:szCs w:val="21"/>
              </w:rPr>
              <w:t>15</w:t>
            </w:r>
            <w:r>
              <w:rPr>
                <w:rFonts w:hint="eastAsia" w:ascii="Times New Roman" w:hAnsi="Times New Roman" w:cs="Times New Roman"/>
                <w:b/>
                <w:bCs/>
                <w:color w:val="auto"/>
                <w:sz w:val="21"/>
                <w:szCs w:val="21"/>
              </w:rPr>
              <w:t>日内书面答复股东并说明理由。公司拒绝提供查阅的，股东可以向人民法院提起诉讼</w:t>
            </w:r>
            <w:r>
              <w:rPr>
                <w:rFonts w:hint="eastAsia" w:ascii="Times New Roman" w:hAnsi="Times New Roman" w:cs="Times New Roman"/>
                <w:b w:val="0"/>
                <w:bCs w:val="0"/>
                <w:color w:val="000000"/>
                <w:sz w:val="21"/>
                <w:szCs w:val="21"/>
              </w:rPr>
              <w:t>。</w:t>
            </w:r>
          </w:p>
        </w:tc>
      </w:tr>
      <w:tr w14:paraId="5E6A6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D55EB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第三十五条  公司</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、董事会决议内容违反法律、行政法规的，股东有权请求人民法院认定无效。</w:t>
            </w:r>
          </w:p>
          <w:p w14:paraId="6677256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、董事会的会议召集程序、表决方式违反法律、行政法规或者本章程，或者决议内容违反本章程的，股东有权自决议作出之日起</w:t>
            </w:r>
            <w:r>
              <w:rPr>
                <w:rFonts w:hint="default" w:ascii="Times New Roman" w:hAnsi="Times New Roman" w:cs="Times New Roman"/>
                <w:b w:val="0"/>
                <w:bCs w:val="0"/>
                <w:color w:val="000000"/>
                <w:sz w:val="21"/>
                <w:szCs w:val="21"/>
              </w:rPr>
              <w:t>60</w:t>
            </w:r>
            <w:r>
              <w:rPr>
                <w:rFonts w:hint="eastAsia" w:ascii="Times New Roman" w:hAnsi="Times New Roman" w:cs="Times New Roman"/>
                <w:b w:val="0"/>
                <w:bCs w:val="0"/>
                <w:color w:val="000000"/>
                <w:sz w:val="21"/>
                <w:szCs w:val="21"/>
              </w:rPr>
              <w:t>日内，请求人民法院撤销。</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578AFC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第三十六条  公司</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、董事会决议内容违反法律、行政法规的，股东有权请求人民法院认定无效。</w:t>
            </w:r>
          </w:p>
          <w:p w14:paraId="7352380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、董事会的会议召集程序、表决方式违反法律、行政法规或者本章程，或者决议内容违反本章程的，股东有权自决议作出之日起</w:t>
            </w:r>
            <w:r>
              <w:rPr>
                <w:rFonts w:hint="default" w:ascii="Times New Roman" w:hAnsi="Times New Roman" w:cs="Times New Roman"/>
                <w:b w:val="0"/>
                <w:bCs w:val="0"/>
                <w:color w:val="000000"/>
                <w:sz w:val="21"/>
                <w:szCs w:val="21"/>
              </w:rPr>
              <w:t>60</w:t>
            </w:r>
            <w:r>
              <w:rPr>
                <w:rFonts w:hint="eastAsia" w:ascii="Times New Roman" w:hAnsi="Times New Roman" w:cs="Times New Roman"/>
                <w:b w:val="0"/>
                <w:bCs w:val="0"/>
                <w:color w:val="000000"/>
                <w:sz w:val="21"/>
                <w:szCs w:val="21"/>
              </w:rPr>
              <w:t>日内，请求人民法院撤销。</w:t>
            </w:r>
            <w:r>
              <w:rPr>
                <w:rFonts w:hint="eastAsia" w:ascii="Times New Roman" w:hAnsi="Times New Roman" w:cs="Times New Roman"/>
                <w:b/>
                <w:bCs/>
                <w:color w:val="auto"/>
                <w:sz w:val="21"/>
                <w:szCs w:val="21"/>
              </w:rPr>
              <w:t>但是，股东会、董事会会议的召集程序或者表决方式仅有轻微瑕疵，对决议未产生实质影响的除外。</w:t>
            </w:r>
          </w:p>
          <w:p w14:paraId="1231D78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董事会、股东等相关方对股东会决议的效力存在争议的，应当及时向人民法院提起诉讼。在人民法院作出撤销决议等判决或者裁定前，相关方应当执行股东会决议。公司、董事和高级管理人员应当切实履行职责，确保公司正常运作。</w:t>
            </w:r>
          </w:p>
          <w:p w14:paraId="247F1B8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人民法院对相关事项作出判决或者裁定的，公司应当依照法律、行政法规、中国证监会和证券交易所的规定履行信息披露义务，充分说明影响，并在判决或者裁定生效后积极配合执行。涉及更正前期事项的，将及时处理并履行相应信息披露义务。</w:t>
            </w:r>
          </w:p>
        </w:tc>
      </w:tr>
      <w:tr w14:paraId="5A35B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92705F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54E10F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第三十七条  有下列情形之一的，公司股东会、董事会的决议不成立：</w:t>
            </w:r>
          </w:p>
          <w:p w14:paraId="5607D54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（一）未召开股东会、董事会会议作出决议；</w:t>
            </w:r>
          </w:p>
          <w:p w14:paraId="36595B6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（二）股东会、董事会会议未对决议事项进行表决；</w:t>
            </w:r>
          </w:p>
          <w:p w14:paraId="32497F0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（三）出席会议的人数或者所持表决权数未达到《公司法》或者本章程规定的人数或者所持表决权数；</w:t>
            </w:r>
          </w:p>
          <w:p w14:paraId="3D495E0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（四）同意决议事项的人数或者所持表决权数未达到《公司法》或者本章程规定的人数或者所持表决权数。</w:t>
            </w:r>
          </w:p>
        </w:tc>
      </w:tr>
      <w:tr w14:paraId="28106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02F6ED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第三十六条</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000000"/>
                <w:sz w:val="21"/>
                <w:szCs w:val="21"/>
              </w:rPr>
              <w:t>董事、高级管理人员执行公司职务时违反法律、行政法规或者本章程的规定，给公司造成损失的，连续</w:t>
            </w:r>
            <w:r>
              <w:rPr>
                <w:rFonts w:hint="default" w:ascii="Times New Roman" w:hAnsi="Times New Roman" w:cs="Times New Roman"/>
                <w:b w:val="0"/>
                <w:bCs w:val="0"/>
                <w:color w:val="000000"/>
                <w:sz w:val="21"/>
                <w:szCs w:val="21"/>
              </w:rPr>
              <w:t>180</w:t>
            </w:r>
            <w:r>
              <w:rPr>
                <w:rFonts w:hint="eastAsia" w:ascii="Times New Roman" w:hAnsi="Times New Roman" w:cs="Times New Roman"/>
                <w:b w:val="0"/>
                <w:bCs w:val="0"/>
                <w:color w:val="000000"/>
                <w:sz w:val="21"/>
                <w:szCs w:val="21"/>
              </w:rPr>
              <w:t>日以上单独或合并持有公司</w:t>
            </w:r>
            <w:r>
              <w:rPr>
                <w:rFonts w:hint="default" w:ascii="Times New Roman" w:hAnsi="Times New Roman" w:cs="Times New Roman"/>
                <w:b w:val="0"/>
                <w:bCs w:val="0"/>
                <w:color w:val="000000"/>
                <w:sz w:val="21"/>
                <w:szCs w:val="21"/>
              </w:rPr>
              <w:t>1</w:t>
            </w:r>
            <w:r>
              <w:rPr>
                <w:rFonts w:hint="eastAsia" w:ascii="Times New Roman" w:hAnsi="Times New Roman" w:cs="Times New Roman"/>
                <w:b w:val="0"/>
                <w:bCs w:val="0"/>
                <w:color w:val="000000"/>
                <w:sz w:val="21"/>
                <w:szCs w:val="21"/>
              </w:rPr>
              <w:t>%以上股份的股东有权书面请求</w:t>
            </w:r>
            <w:r>
              <w:rPr>
                <w:rFonts w:hint="eastAsia" w:ascii="Times New Roman" w:hAnsi="Times New Roman" w:cs="Times New Roman"/>
                <w:b/>
                <w:bCs/>
                <w:strike/>
                <w:dstrike w:val="0"/>
                <w:color w:val="000000"/>
                <w:sz w:val="21"/>
                <w:szCs w:val="21"/>
              </w:rPr>
              <w:t>监事会</w:t>
            </w:r>
            <w:r>
              <w:rPr>
                <w:rFonts w:hint="eastAsia" w:ascii="Times New Roman" w:hAnsi="Times New Roman" w:cs="Times New Roman"/>
                <w:b w:val="0"/>
                <w:bCs w:val="0"/>
                <w:color w:val="000000"/>
                <w:sz w:val="21"/>
                <w:szCs w:val="21"/>
              </w:rPr>
              <w:t>向人民法院提起诉讼；</w:t>
            </w:r>
            <w:r>
              <w:rPr>
                <w:rFonts w:hint="eastAsia" w:ascii="Times New Roman" w:hAnsi="Times New Roman" w:cs="Times New Roman"/>
                <w:b/>
                <w:bCs/>
                <w:strike/>
                <w:dstrike w:val="0"/>
                <w:color w:val="000000"/>
                <w:sz w:val="21"/>
                <w:szCs w:val="21"/>
              </w:rPr>
              <w:t>监事会</w:t>
            </w:r>
            <w:r>
              <w:rPr>
                <w:rFonts w:hint="eastAsia" w:ascii="Times New Roman" w:hAnsi="Times New Roman" w:cs="Times New Roman"/>
                <w:b w:val="0"/>
                <w:bCs w:val="0"/>
                <w:color w:val="000000"/>
                <w:sz w:val="21"/>
                <w:szCs w:val="21"/>
              </w:rPr>
              <w:t>执行公司职务时违反法律、行政法规或者本章程的规定，给公司造成损失的，股东可以书面请求董事会向人民法院提起诉讼。</w:t>
            </w:r>
          </w:p>
          <w:p w14:paraId="4348150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监事会、</w:t>
            </w:r>
            <w:r>
              <w:rPr>
                <w:rFonts w:hint="eastAsia" w:ascii="Times New Roman" w:hAnsi="Times New Roman" w:cs="Times New Roman"/>
                <w:b w:val="0"/>
                <w:bCs w:val="0"/>
                <w:color w:val="000000"/>
                <w:sz w:val="21"/>
                <w:szCs w:val="21"/>
              </w:rPr>
              <w:t>董事会收到前款规定的股东书面请求后拒绝提起诉讼，或者自收到请求之日起</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日内未提起诉讼，或者情况紧急、不立即提起诉讼将会使公司利益受到难以弥补的损害的，前款规定的股东有权为了公司的利益以自己的名义直接向人民法院提起诉讼。他人侵犯公司合法权益，给公司造成损失的，本条第一款规定的股东可以依照前两款的规定向人民法院提起诉讼。</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17B5FF9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第三十八条  </w:t>
            </w:r>
            <w:r>
              <w:rPr>
                <w:rFonts w:hint="eastAsia" w:ascii="Times New Roman" w:hAnsi="Times New Roman" w:cs="Times New Roman"/>
                <w:b/>
                <w:bCs/>
                <w:color w:val="auto"/>
                <w:sz w:val="21"/>
                <w:szCs w:val="21"/>
              </w:rPr>
              <w:t>审计委员会成员以外的</w:t>
            </w:r>
            <w:r>
              <w:rPr>
                <w:rFonts w:hint="eastAsia" w:ascii="Times New Roman" w:hAnsi="Times New Roman" w:cs="Times New Roman"/>
                <w:b w:val="0"/>
                <w:bCs w:val="0"/>
                <w:color w:val="000000"/>
                <w:sz w:val="21"/>
                <w:szCs w:val="21"/>
              </w:rPr>
              <w:t>董事、高级管理人员执行公司职务时违反法律、行政法规或者本章程的规定，给公司造成损失的，连续</w:t>
            </w:r>
            <w:r>
              <w:rPr>
                <w:rFonts w:hint="default" w:ascii="Times New Roman" w:hAnsi="Times New Roman" w:cs="Times New Roman"/>
                <w:b w:val="0"/>
                <w:bCs w:val="0"/>
                <w:color w:val="000000"/>
                <w:sz w:val="21"/>
                <w:szCs w:val="21"/>
              </w:rPr>
              <w:t>180</w:t>
            </w:r>
            <w:r>
              <w:rPr>
                <w:rFonts w:hint="eastAsia" w:ascii="Times New Roman" w:hAnsi="Times New Roman" w:cs="Times New Roman"/>
                <w:b w:val="0"/>
                <w:bCs w:val="0"/>
                <w:color w:val="000000"/>
                <w:sz w:val="21"/>
                <w:szCs w:val="21"/>
              </w:rPr>
              <w:t>日以上单独或合并持有公司</w:t>
            </w:r>
            <w:r>
              <w:rPr>
                <w:rFonts w:hint="default" w:ascii="Times New Roman" w:hAnsi="Times New Roman" w:cs="Times New Roman"/>
                <w:b w:val="0"/>
                <w:bCs w:val="0"/>
                <w:color w:val="000000"/>
                <w:sz w:val="21"/>
                <w:szCs w:val="21"/>
              </w:rPr>
              <w:t>1</w:t>
            </w:r>
            <w:r>
              <w:rPr>
                <w:rFonts w:hint="eastAsia" w:ascii="Times New Roman" w:hAnsi="Times New Roman" w:cs="Times New Roman"/>
                <w:b w:val="0"/>
                <w:bCs w:val="0"/>
                <w:color w:val="000000"/>
                <w:sz w:val="21"/>
                <w:szCs w:val="21"/>
              </w:rPr>
              <w:t>%以上股份的股东有权书面请求</w:t>
            </w:r>
            <w:r>
              <w:rPr>
                <w:rFonts w:hint="eastAsia" w:ascii="Times New Roman" w:hAnsi="Times New Roman" w:cs="Times New Roman"/>
                <w:b/>
                <w:bCs/>
                <w:color w:val="000000"/>
                <w:sz w:val="21"/>
                <w:szCs w:val="21"/>
              </w:rPr>
              <w:t>审计委员会</w:t>
            </w:r>
            <w:r>
              <w:rPr>
                <w:rFonts w:hint="eastAsia" w:ascii="Times New Roman" w:hAnsi="Times New Roman" w:cs="Times New Roman"/>
                <w:b w:val="0"/>
                <w:bCs w:val="0"/>
                <w:color w:val="000000"/>
                <w:sz w:val="21"/>
                <w:szCs w:val="21"/>
              </w:rPr>
              <w:t>向人民法院提起诉讼；</w:t>
            </w:r>
            <w:r>
              <w:rPr>
                <w:rFonts w:hint="eastAsia" w:ascii="Times New Roman" w:hAnsi="Times New Roman" w:cs="Times New Roman"/>
                <w:b/>
                <w:bCs/>
                <w:color w:val="000000"/>
                <w:sz w:val="21"/>
                <w:szCs w:val="21"/>
              </w:rPr>
              <w:t>审计委员会成员</w:t>
            </w:r>
            <w:r>
              <w:rPr>
                <w:rFonts w:hint="eastAsia" w:ascii="Times New Roman" w:hAnsi="Times New Roman" w:cs="Times New Roman"/>
                <w:b w:val="0"/>
                <w:bCs w:val="0"/>
                <w:color w:val="000000"/>
                <w:sz w:val="21"/>
                <w:szCs w:val="21"/>
              </w:rPr>
              <w:t>执行公司职务时违反法律、行政法规或者本章程的规定，给公司造成损失的，</w:t>
            </w:r>
            <w:r>
              <w:rPr>
                <w:rFonts w:hint="eastAsia" w:ascii="Times New Roman" w:hAnsi="Times New Roman" w:cs="Times New Roman"/>
                <w:b/>
                <w:bCs/>
                <w:color w:val="000000"/>
                <w:sz w:val="21"/>
                <w:szCs w:val="21"/>
              </w:rPr>
              <w:t>前述</w:t>
            </w:r>
            <w:r>
              <w:rPr>
                <w:rFonts w:hint="eastAsia" w:ascii="Times New Roman" w:hAnsi="Times New Roman" w:cs="Times New Roman"/>
                <w:b w:val="0"/>
                <w:bCs w:val="0"/>
                <w:color w:val="000000"/>
                <w:sz w:val="21"/>
                <w:szCs w:val="21"/>
              </w:rPr>
              <w:t>股东可以书面请求董事会向人民法院提起诉讼。</w:t>
            </w:r>
          </w:p>
          <w:p w14:paraId="6B3118F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审计委员会、</w:t>
            </w:r>
            <w:r>
              <w:rPr>
                <w:rFonts w:hint="eastAsia" w:ascii="Times New Roman" w:hAnsi="Times New Roman" w:cs="Times New Roman"/>
                <w:b w:val="0"/>
                <w:bCs w:val="0"/>
                <w:color w:val="000000"/>
                <w:sz w:val="21"/>
                <w:szCs w:val="21"/>
              </w:rPr>
              <w:t>董事会收到前款规定的股东书面请求后拒绝提起诉讼，或者自收到请求之日起</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日内未提起诉讼，或者情况紧急、不立即提起诉讼将会使公司利益受到难以弥补的损害的，前款规定的股东有权为了公司的利益以自己的名义直接向人民法院提起诉讼。</w:t>
            </w:r>
          </w:p>
          <w:p w14:paraId="5D5C771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他人侵犯公司合法权益，给公司造成损失的，本条第一款规定的股东可以依照前两款的规定向人民法院提起诉讼。</w:t>
            </w:r>
          </w:p>
          <w:p w14:paraId="6519933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公司全资子公司的董事、监事、高级管理人员执行职务违反法律、行政法规或者本章程的规定，给公司造成损失的，或者他人侵犯公司全资子公司合法权益造成损失的，连续</w:t>
            </w:r>
            <w:r>
              <w:rPr>
                <w:rFonts w:hint="default" w:ascii="Times New Roman" w:hAnsi="Times New Roman" w:cs="Times New Roman"/>
                <w:b/>
                <w:bCs/>
                <w:color w:val="auto"/>
                <w:sz w:val="21"/>
                <w:szCs w:val="21"/>
              </w:rPr>
              <w:t>180</w:t>
            </w:r>
            <w:r>
              <w:rPr>
                <w:rFonts w:hint="eastAsia" w:ascii="Times New Roman" w:hAnsi="Times New Roman" w:cs="Times New Roman"/>
                <w:b/>
                <w:bCs/>
                <w:color w:val="auto"/>
                <w:sz w:val="21"/>
                <w:szCs w:val="21"/>
              </w:rPr>
              <w:t>日以上单独或者合计持有公司</w:t>
            </w:r>
            <w:r>
              <w:rPr>
                <w:rFonts w:hint="default" w:ascii="Times New Roman" w:hAnsi="Times New Roman" w:cs="Times New Roman"/>
                <w:b/>
                <w:bCs/>
                <w:color w:val="auto"/>
                <w:sz w:val="21"/>
                <w:szCs w:val="21"/>
              </w:rPr>
              <w:t>1</w:t>
            </w:r>
            <w:r>
              <w:rPr>
                <w:rFonts w:hint="eastAsia" w:ascii="Times New Roman" w:hAnsi="Times New Roman" w:cs="Times New Roman"/>
                <w:b/>
                <w:bCs/>
                <w:color w:val="auto"/>
                <w:sz w:val="21"/>
                <w:szCs w:val="21"/>
              </w:rPr>
              <w:t>%以上股份的股东，可以依照《公司法》第一百八十九条前三款规定书面请求全资子公司的审计委员会、董事会向人民法院提起诉讼或者以自己的名义直接向人民法院提起诉讼。公司全资子公司不设</w:t>
            </w:r>
            <w:r>
              <w:rPr>
                <w:rFonts w:hint="eastAsia" w:cs="Times New Roman"/>
                <w:b/>
                <w:bCs/>
                <w:color w:val="auto"/>
                <w:sz w:val="21"/>
                <w:szCs w:val="21"/>
                <w:lang w:val="en-US" w:eastAsia="zh-CN"/>
              </w:rPr>
              <w:t>监事会</w:t>
            </w:r>
            <w:r>
              <w:rPr>
                <w:rFonts w:hint="eastAsia" w:ascii="Times New Roman" w:hAnsi="Times New Roman" w:cs="Times New Roman"/>
                <w:b/>
                <w:bCs/>
                <w:color w:val="auto"/>
                <w:sz w:val="21"/>
                <w:szCs w:val="21"/>
              </w:rPr>
              <w:t>或监事</w:t>
            </w:r>
            <w:r>
              <w:rPr>
                <w:rFonts w:hint="eastAsia" w:cs="Times New Roman"/>
                <w:b/>
                <w:bCs/>
                <w:color w:val="auto"/>
                <w:sz w:val="21"/>
                <w:szCs w:val="21"/>
                <w:lang w:eastAsia="zh-CN"/>
              </w:rPr>
              <w:t>，</w:t>
            </w:r>
            <w:r>
              <w:rPr>
                <w:rFonts w:hint="eastAsia" w:ascii="Times New Roman" w:hAnsi="Times New Roman" w:cs="Times New Roman"/>
                <w:b/>
                <w:bCs/>
                <w:color w:val="auto"/>
                <w:sz w:val="21"/>
                <w:szCs w:val="21"/>
              </w:rPr>
              <w:t>设审计委员会的，按照本条第一款、第二款的规定执行。</w:t>
            </w:r>
          </w:p>
        </w:tc>
      </w:tr>
      <w:tr w14:paraId="4ED2F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1730F83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cs="Times New Roman"/>
                <w:b w:val="0"/>
                <w:bCs w:val="0"/>
                <w:color w:val="000000"/>
                <w:sz w:val="21"/>
                <w:szCs w:val="21"/>
                <w:lang w:val="en-US" w:eastAsia="zh-CN"/>
              </w:rPr>
            </w:pPr>
            <w:r>
              <w:rPr>
                <w:rFonts w:hint="eastAsia" w:ascii="Times New Roman" w:hAnsi="Times New Roman" w:cs="Times New Roman"/>
                <w:b/>
                <w:bCs/>
                <w:strike/>
                <w:dstrike w:val="0"/>
                <w:color w:val="000000"/>
                <w:sz w:val="21"/>
                <w:szCs w:val="21"/>
              </w:rPr>
              <w:t>第三十九条  持有公司</w:t>
            </w:r>
            <w:r>
              <w:rPr>
                <w:rFonts w:hint="default" w:ascii="Times New Roman" w:hAnsi="Times New Roman" w:cs="Times New Roman"/>
                <w:b/>
                <w:bCs/>
                <w:strike/>
                <w:dstrike w:val="0"/>
                <w:color w:val="000000"/>
                <w:sz w:val="21"/>
                <w:szCs w:val="21"/>
              </w:rPr>
              <w:t>5</w:t>
            </w:r>
            <w:r>
              <w:rPr>
                <w:rFonts w:hint="eastAsia" w:ascii="Times New Roman" w:hAnsi="Times New Roman" w:cs="Times New Roman"/>
                <w:b/>
                <w:bCs/>
                <w:strike/>
                <w:dstrike w:val="0"/>
                <w:color w:val="000000"/>
                <w:sz w:val="21"/>
                <w:szCs w:val="21"/>
              </w:rPr>
              <w:t>%以上有表决权股份的股东，将其持有的股份进行质押的，应当自该事实发生当日，向公司作出书面报告。</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C291C0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bCs/>
                <w:color w:val="auto"/>
                <w:sz w:val="21"/>
                <w:szCs w:val="21"/>
                <w:lang w:val="en-US" w:eastAsia="zh-CN"/>
              </w:rPr>
            </w:pPr>
            <w:r>
              <w:rPr>
                <w:rFonts w:hint="eastAsia" w:cs="Times New Roman"/>
                <w:b w:val="0"/>
                <w:bCs w:val="0"/>
                <w:color w:val="auto"/>
                <w:sz w:val="21"/>
                <w:szCs w:val="21"/>
                <w:lang w:val="en-US" w:eastAsia="zh-CN"/>
              </w:rPr>
              <w:t>删除</w:t>
            </w:r>
          </w:p>
        </w:tc>
      </w:tr>
      <w:tr w14:paraId="6F118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4087EE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002B934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第四十</w:t>
            </w:r>
            <w:r>
              <w:rPr>
                <w:rFonts w:hint="eastAsia" w:cs="Times New Roman"/>
                <w:b/>
                <w:bCs/>
                <w:color w:val="auto"/>
                <w:sz w:val="21"/>
                <w:szCs w:val="21"/>
                <w:lang w:val="en-US" w:eastAsia="zh-CN"/>
              </w:rPr>
              <w:t>二</w:t>
            </w:r>
            <w:r>
              <w:rPr>
                <w:rFonts w:hint="eastAsia" w:ascii="Times New Roman" w:hAnsi="Times New Roman" w:cs="Times New Roman"/>
                <w:b/>
                <w:bCs/>
                <w:color w:val="auto"/>
                <w:sz w:val="21"/>
                <w:szCs w:val="21"/>
              </w:rPr>
              <w:t>条</w:t>
            </w:r>
            <w:r>
              <w:rPr>
                <w:rFonts w:hint="eastAsia" w:cs="Times New Roman"/>
                <w:b/>
                <w:bCs/>
                <w:color w:val="auto"/>
                <w:sz w:val="21"/>
                <w:szCs w:val="21"/>
                <w:lang w:val="en-US" w:eastAsia="zh-CN"/>
              </w:rPr>
              <w:t xml:space="preserve">  </w:t>
            </w:r>
            <w:r>
              <w:rPr>
                <w:rFonts w:hint="eastAsia" w:ascii="Times New Roman" w:hAnsi="Times New Roman" w:cs="Times New Roman"/>
                <w:b/>
                <w:bCs/>
                <w:color w:val="auto"/>
                <w:sz w:val="21"/>
                <w:szCs w:val="21"/>
              </w:rPr>
              <w:t>公司控股股东、实际控制人应当依照法律、行政法规、中国证监会和证券交易所的规定行使权利、履行义务，维护公司利益。</w:t>
            </w:r>
          </w:p>
        </w:tc>
      </w:tr>
      <w:tr w14:paraId="662EC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6AB3B62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5ADFE2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第四十三条  公司控股股东、实际控制人应当遵守以下规定：</w:t>
            </w:r>
          </w:p>
          <w:p w14:paraId="2D71F1C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（一）依法行使股东权利，不滥用控制权或者利用关联关系损害公司和其他股东的合法权益；</w:t>
            </w:r>
          </w:p>
          <w:p w14:paraId="6CFB54C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（二）严格履行所作出的公开声明和各项承诺，不得擅自变更或者豁免；</w:t>
            </w:r>
          </w:p>
          <w:p w14:paraId="6B09AD6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（三）严格按照有关规定履行信息披露义务，积极主动配合公司做好信息披露工作，及时告知公司已发生或者拟发生的重大事件；</w:t>
            </w:r>
          </w:p>
          <w:p w14:paraId="6CF22D9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（四）不得以任何方式占用公司资金；</w:t>
            </w:r>
          </w:p>
          <w:p w14:paraId="4FAB2E4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（五）不得强令、指使或者要求公司及相关人员违法违规提供担保；</w:t>
            </w:r>
          </w:p>
          <w:p w14:paraId="7778CE9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（六）不得利用公司未公开重大信息谋取利益，不得以任何方式泄露与公司有关的未公开重大信息，不得从事内幕交易、短线交易、操纵市场等违法违规行为；</w:t>
            </w:r>
          </w:p>
          <w:p w14:paraId="33EB534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（七）不得通过非公允的关联交易、利润分配、资产重组、对外投资等任何方式损害公司和其他股东的合法权益；</w:t>
            </w:r>
          </w:p>
          <w:p w14:paraId="19112BF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（八）保证公司资产完整、人员独立、财务独立、机构独立和业务独立，不得以任何方式影响公司的独立性；</w:t>
            </w:r>
          </w:p>
          <w:p w14:paraId="784203D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（九）法律、行政法规、中国证监会规定、证券交易所业务规则和本章程的其他规定。</w:t>
            </w:r>
          </w:p>
          <w:p w14:paraId="514C807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公司的控股股东、实际控制人不担任公司董事但实际执行公司事务的，适用本章程关于董事忠实义务和勤勉义务的规定。</w:t>
            </w:r>
          </w:p>
          <w:p w14:paraId="019A554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公司的控股股东、实际控制人指示董事、高级管理人员从事损害公司或者股东利益的行为的，与该董事、高级管理人员承担连带责任。</w:t>
            </w:r>
          </w:p>
        </w:tc>
      </w:tr>
      <w:tr w14:paraId="4F844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10ED619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6F88B0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 xml:space="preserve">第四十四条 </w:t>
            </w:r>
            <w:r>
              <w:rPr>
                <w:rFonts w:hint="eastAsia" w:ascii="Times New Roman" w:hAnsi="Times New Roman" w:cs="Times New Roman"/>
                <w:b w:val="0"/>
                <w:bCs w:val="0"/>
                <w:color w:val="000000"/>
                <w:sz w:val="21"/>
                <w:szCs w:val="21"/>
              </w:rPr>
              <w:t xml:space="preserve"> </w:t>
            </w:r>
            <w:r>
              <w:rPr>
                <w:rFonts w:hint="eastAsia" w:ascii="Times New Roman" w:hAnsi="Times New Roman" w:cs="Times New Roman"/>
                <w:b/>
                <w:bCs/>
                <w:color w:val="auto"/>
                <w:sz w:val="21"/>
                <w:szCs w:val="21"/>
              </w:rPr>
              <w:t>控股股东、实际控制人质押其所持有或者实际支配的公司股票的，应当维持公司控制权和生产经营稳定。</w:t>
            </w:r>
          </w:p>
        </w:tc>
      </w:tr>
      <w:tr w14:paraId="35055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BADCF2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第四十条公司的控股股东、实际控制人不得利用其关联关系损害公司利益。违反规定给公司造成损失的，应当承担赔偿责任。 </w:t>
            </w:r>
          </w:p>
          <w:p w14:paraId="4D92EAE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公司控股股东及实际控制人对公司和股东负有以下诚信义务：</w:t>
            </w:r>
          </w:p>
          <w:p w14:paraId="255D1FD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（一）严格依法行使出资人的权利，控股股东不得利用利润分配、资产重组、对外投资、资金占用、借款担保等方式损害公司和其他股东的合法权益；</w:t>
            </w:r>
          </w:p>
          <w:p w14:paraId="7C2C184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（二）不得利用特殊地位谋取额外利益；</w:t>
            </w:r>
          </w:p>
          <w:p w14:paraId="60E45D6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（三）不得对股东大会人事选举决议和董事会人事聘任决议履行任何批准手续；</w:t>
            </w:r>
          </w:p>
          <w:p w14:paraId="2729ECC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（四）不得越过股东大会和董事会任免公司高级管理人员；</w:t>
            </w:r>
          </w:p>
          <w:p w14:paraId="19C7F94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（五）不得直接或间接干预公司生产经营决策；</w:t>
            </w:r>
          </w:p>
          <w:p w14:paraId="2870C28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（六）不得占用、支配公司资产或其他权益；</w:t>
            </w:r>
          </w:p>
          <w:p w14:paraId="6E00E6A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（七）不得干预公司的财务会计活动；</w:t>
            </w:r>
          </w:p>
          <w:p w14:paraId="275BCD5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（八）不得向公司下达任何经营计划或指令；</w:t>
            </w:r>
          </w:p>
          <w:p w14:paraId="446DB16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（九）不得从事与公司相同或相近的业务；</w:t>
            </w:r>
          </w:p>
          <w:p w14:paraId="70C7F99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（十）不得利用其控制地位以任何形式影响公司经营管理的独立性或损害公司和股东的合法权益。</w:t>
            </w:r>
          </w:p>
          <w:p w14:paraId="17B1518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公司控股股东、实际控制人不得以任何形式侵占公司资产或占用公司资金。一旦发生公司控股股东或实际控制人侵占公司资产的，董事会应立即申请对该股东所持股份进行司法冻结，该股东应尽快采取现金清偿的方式偿还，如不能以现金清偿的，公司董事会应通过变现该股东所持公司股份以偿还侵占资产。</w:t>
            </w:r>
          </w:p>
          <w:p w14:paraId="2098F42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公司董事、监事和高级管理人员承担维护公司资金安全的法定义务，不得侵占公司资产或协助、纵容控股股东及其附属企业侵占公司资产。公司董事、监事和高级管理人员违反上述规定的，其所得收入归公司所有。给公司造成损失的，还应当承担赔偿责任。同时，公司董事会视情节轻重对直接责任人给予处分，对负有严重责任的董事，董事会应当向公司股东大会提请罢免该董事，构成犯罪的，移送司法机关处理。</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CAA5DC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删除</w:t>
            </w:r>
          </w:p>
        </w:tc>
      </w:tr>
      <w:tr w14:paraId="29BB5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1BF67FF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DC88D7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第四十五条  控股股东、实际控制人转让其所持有的本公司股份的，应当遵守法律、行政法规、中国证监会和证券交易所的规定中关于股份转让的限制性规定及其就限制股份转让作出的承诺。</w:t>
            </w:r>
          </w:p>
        </w:tc>
      </w:tr>
      <w:tr w14:paraId="07680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49D377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第四十一条  </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是公司的权力机构，依法行使下列职权：</w:t>
            </w:r>
          </w:p>
          <w:p w14:paraId="0928FFD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（一）决定公司的经营方针和投资计划；</w:t>
            </w:r>
          </w:p>
          <w:p w14:paraId="6D18C66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（二）选举和更换</w:t>
            </w:r>
            <w:r>
              <w:rPr>
                <w:rFonts w:hint="eastAsia" w:ascii="Times New Roman" w:hAnsi="Times New Roman" w:cs="Times New Roman"/>
                <w:b/>
                <w:bCs/>
                <w:strike/>
                <w:dstrike w:val="0"/>
                <w:color w:val="000000"/>
                <w:sz w:val="21"/>
                <w:szCs w:val="21"/>
              </w:rPr>
              <w:t>非由职工代表担任的</w:t>
            </w:r>
            <w:r>
              <w:rPr>
                <w:rFonts w:hint="eastAsia" w:ascii="Times New Roman" w:hAnsi="Times New Roman" w:cs="Times New Roman"/>
                <w:b w:val="0"/>
                <w:bCs w:val="0"/>
                <w:color w:val="000000"/>
                <w:sz w:val="21"/>
                <w:szCs w:val="21"/>
              </w:rPr>
              <w:t>董事</w:t>
            </w:r>
            <w:r>
              <w:rPr>
                <w:rFonts w:hint="eastAsia" w:ascii="Times New Roman" w:hAnsi="Times New Roman" w:cs="Times New Roman"/>
                <w:b/>
                <w:bCs/>
                <w:strike/>
                <w:dstrike w:val="0"/>
                <w:color w:val="000000"/>
                <w:sz w:val="21"/>
                <w:szCs w:val="21"/>
                <w:u w:val="none"/>
              </w:rPr>
              <w:t>、监事</w:t>
            </w:r>
            <w:r>
              <w:rPr>
                <w:rFonts w:hint="eastAsia" w:ascii="Times New Roman" w:hAnsi="Times New Roman" w:cs="Times New Roman"/>
                <w:b w:val="0"/>
                <w:bCs w:val="0"/>
                <w:color w:val="000000"/>
                <w:sz w:val="21"/>
                <w:szCs w:val="21"/>
              </w:rPr>
              <w:t>，决定有关董事</w:t>
            </w:r>
            <w:r>
              <w:rPr>
                <w:rFonts w:hint="eastAsia" w:ascii="Times New Roman" w:hAnsi="Times New Roman" w:cs="Times New Roman"/>
                <w:b/>
                <w:bCs/>
                <w:strike/>
                <w:dstrike w:val="0"/>
                <w:color w:val="000000"/>
                <w:sz w:val="21"/>
                <w:szCs w:val="21"/>
              </w:rPr>
              <w:t>、监事</w:t>
            </w:r>
            <w:r>
              <w:rPr>
                <w:rFonts w:hint="eastAsia" w:ascii="Times New Roman" w:hAnsi="Times New Roman" w:cs="Times New Roman"/>
                <w:b w:val="0"/>
                <w:bCs w:val="0"/>
                <w:color w:val="000000"/>
                <w:sz w:val="21"/>
                <w:szCs w:val="21"/>
              </w:rPr>
              <w:t>的报酬事项；</w:t>
            </w:r>
          </w:p>
          <w:p w14:paraId="113B1E5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（三）审议批准董事会的报告；</w:t>
            </w:r>
          </w:p>
          <w:p w14:paraId="48F3B5B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（四）审议批准监事会报告；</w:t>
            </w:r>
          </w:p>
          <w:p w14:paraId="2E9A898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（五）审议批准公司的年度财务预算方案、决算方案；</w:t>
            </w:r>
          </w:p>
          <w:p w14:paraId="74FD97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（六）审议批准公司的利润分配方案和弥补亏损方案；</w:t>
            </w:r>
          </w:p>
          <w:p w14:paraId="5A6F100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（七）对公司增加或者减少注册资本作出决议；</w:t>
            </w:r>
          </w:p>
          <w:p w14:paraId="154C65C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（八）对发行公司债券作出决议；</w:t>
            </w:r>
          </w:p>
          <w:p w14:paraId="611156A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（九）对公司合并、分立、解散、清算或者变更公司形式作出决议；</w:t>
            </w:r>
          </w:p>
          <w:p w14:paraId="1899525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（十）修改本章程； </w:t>
            </w:r>
          </w:p>
          <w:p w14:paraId="3ACE25B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（十一）对公司聘用、解聘会计师事务所作出决议；</w:t>
            </w:r>
          </w:p>
          <w:p w14:paraId="3EA74A4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（十二）审议批准第四十二条规定的担保事项；</w:t>
            </w:r>
          </w:p>
          <w:p w14:paraId="0DFE344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（十三）审议公司在一年内购买、出售重大资产超过公司最近一期经审计总资产</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%的事项；</w:t>
            </w:r>
          </w:p>
          <w:p w14:paraId="044A500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（十四）审议批准变更募集资金用途事项；</w:t>
            </w:r>
          </w:p>
          <w:p w14:paraId="4383D3F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（十五）审议股权激励计划和员工持股计划；</w:t>
            </w:r>
          </w:p>
          <w:p w14:paraId="7208E74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（十六）公司年度股东大会可以授权董事会决定向特定对象发行融资总额不超过人民币三亿元且不超过最近一年末净资产</w:t>
            </w:r>
            <w:r>
              <w:rPr>
                <w:rFonts w:hint="default" w:ascii="Times New Roman" w:hAnsi="Times New Roman" w:cs="Times New Roman"/>
                <w:b/>
                <w:bCs/>
                <w:strike/>
                <w:dstrike w:val="0"/>
                <w:color w:val="000000"/>
                <w:sz w:val="21"/>
                <w:szCs w:val="21"/>
              </w:rPr>
              <w:t>20</w:t>
            </w:r>
            <w:r>
              <w:rPr>
                <w:rFonts w:hint="eastAsia" w:ascii="Times New Roman" w:hAnsi="Times New Roman" w:cs="Times New Roman"/>
                <w:b/>
                <w:bCs/>
                <w:strike/>
                <w:dstrike w:val="0"/>
                <w:color w:val="000000"/>
                <w:sz w:val="21"/>
                <w:szCs w:val="21"/>
              </w:rPr>
              <w:t>%的股票，该项授权在下一年度股东大会召开日失效；</w:t>
            </w:r>
          </w:p>
          <w:p w14:paraId="03C8240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（十七）审议法律、行政法规、部门规章或本章程规定应当由</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决定的其他事项。</w:t>
            </w:r>
          </w:p>
          <w:p w14:paraId="16E048E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上述</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的职权不得通过授权的形式由董事会或其他机构和个人代为行使。</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6AB418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第四十六条  </w:t>
            </w:r>
            <w:r>
              <w:rPr>
                <w:rFonts w:hint="eastAsia" w:ascii="Times New Roman" w:hAnsi="Times New Roman" w:cs="Times New Roman"/>
                <w:b/>
                <w:bCs/>
                <w:color w:val="auto"/>
                <w:sz w:val="21"/>
                <w:szCs w:val="21"/>
              </w:rPr>
              <w:t>公司股东会由全体股东组成。</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是公司的权力机构，依法行使下列职权：</w:t>
            </w:r>
          </w:p>
          <w:p w14:paraId="1DB9A2D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cs="Times New Roman"/>
                <w:b w:val="0"/>
                <w:bCs w:val="0"/>
                <w:color w:val="000000"/>
                <w:sz w:val="21"/>
                <w:szCs w:val="21"/>
                <w:lang w:eastAsia="zh-CN"/>
              </w:rPr>
              <w:t>（</w:t>
            </w:r>
            <w:r>
              <w:rPr>
                <w:rFonts w:hint="eastAsia" w:cs="Times New Roman"/>
                <w:b w:val="0"/>
                <w:bCs w:val="0"/>
                <w:color w:val="000000"/>
                <w:sz w:val="21"/>
                <w:szCs w:val="21"/>
                <w:lang w:val="en-US" w:eastAsia="zh-CN"/>
              </w:rPr>
              <w:t>一</w:t>
            </w:r>
            <w:r>
              <w:rPr>
                <w:rFonts w:hint="eastAsia" w:cs="Times New Roman"/>
                <w:b w:val="0"/>
                <w:bCs w:val="0"/>
                <w:color w:val="000000"/>
                <w:sz w:val="21"/>
                <w:szCs w:val="21"/>
                <w:lang w:eastAsia="zh-CN"/>
              </w:rPr>
              <w:t>）</w:t>
            </w:r>
            <w:r>
              <w:rPr>
                <w:rFonts w:hint="eastAsia" w:ascii="Times New Roman" w:hAnsi="Times New Roman" w:cs="Times New Roman"/>
                <w:b w:val="0"/>
                <w:bCs w:val="0"/>
                <w:color w:val="000000"/>
                <w:sz w:val="21"/>
                <w:szCs w:val="21"/>
              </w:rPr>
              <w:t>选举和更换董事，决定有关董事的报酬事项；</w:t>
            </w:r>
          </w:p>
          <w:p w14:paraId="017CEF5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（二）审议批准董事会的报告；</w:t>
            </w:r>
          </w:p>
          <w:p w14:paraId="0CF6AC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（三）审议批准公司的利润分配方案和弥补亏损方案；</w:t>
            </w:r>
          </w:p>
          <w:p w14:paraId="28099BA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（四）对公司增加或者减少注册资本作出决议；</w:t>
            </w:r>
          </w:p>
          <w:p w14:paraId="667B286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（五）对发行公司债券作出决议；</w:t>
            </w:r>
          </w:p>
          <w:p w14:paraId="5334749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（六）对公司合并、分立、解散、清算或者变更公司形式作出决议；</w:t>
            </w:r>
          </w:p>
          <w:p w14:paraId="154FA07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（七）修改本章程；</w:t>
            </w:r>
          </w:p>
          <w:p w14:paraId="0D3A00D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（八）对公司聘用、解聘</w:t>
            </w:r>
            <w:r>
              <w:rPr>
                <w:rFonts w:hint="eastAsia" w:ascii="Times New Roman" w:hAnsi="Times New Roman" w:cs="Times New Roman"/>
                <w:b/>
                <w:bCs/>
                <w:color w:val="auto"/>
                <w:sz w:val="21"/>
                <w:szCs w:val="21"/>
              </w:rPr>
              <w:t>承办公司审计业务的</w:t>
            </w:r>
            <w:r>
              <w:rPr>
                <w:rFonts w:hint="eastAsia" w:ascii="Times New Roman" w:hAnsi="Times New Roman" w:cs="Times New Roman"/>
                <w:b w:val="0"/>
                <w:bCs w:val="0"/>
                <w:color w:val="000000"/>
                <w:sz w:val="21"/>
                <w:szCs w:val="21"/>
              </w:rPr>
              <w:t>会计师事务所作出决议；</w:t>
            </w:r>
          </w:p>
          <w:p w14:paraId="7DF7190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（九）审议批准</w:t>
            </w:r>
            <w:r>
              <w:rPr>
                <w:rFonts w:hint="eastAsia" w:ascii="Times New Roman" w:hAnsi="Times New Roman" w:cs="Times New Roman"/>
                <w:b/>
                <w:bCs/>
                <w:color w:val="auto"/>
                <w:sz w:val="21"/>
                <w:szCs w:val="21"/>
              </w:rPr>
              <w:t>本章程</w:t>
            </w:r>
            <w:r>
              <w:rPr>
                <w:rFonts w:hint="eastAsia" w:ascii="Times New Roman" w:hAnsi="Times New Roman" w:cs="Times New Roman"/>
                <w:b w:val="0"/>
                <w:bCs w:val="0"/>
                <w:color w:val="000000"/>
                <w:sz w:val="21"/>
                <w:szCs w:val="21"/>
              </w:rPr>
              <w:t>第四十</w:t>
            </w:r>
            <w:r>
              <w:rPr>
                <w:rFonts w:hint="eastAsia" w:ascii="Times New Roman" w:hAnsi="Times New Roman" w:cs="Times New Roman"/>
                <w:b/>
                <w:bCs/>
                <w:color w:val="auto"/>
                <w:sz w:val="21"/>
                <w:szCs w:val="21"/>
              </w:rPr>
              <w:t>七</w:t>
            </w:r>
            <w:r>
              <w:rPr>
                <w:rFonts w:hint="eastAsia" w:ascii="Times New Roman" w:hAnsi="Times New Roman" w:cs="Times New Roman"/>
                <w:b w:val="0"/>
                <w:bCs w:val="0"/>
                <w:color w:val="000000"/>
                <w:sz w:val="21"/>
                <w:szCs w:val="21"/>
              </w:rPr>
              <w:t>条规定的担保事项；</w:t>
            </w:r>
          </w:p>
          <w:p w14:paraId="3E69336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（十）审议公司在一年内购买、出售重大资产超过公司最近一期经审计总资产</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%的事项；</w:t>
            </w:r>
          </w:p>
          <w:p w14:paraId="04B320D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（十一）审议批准变更募集资金用途事项；</w:t>
            </w:r>
          </w:p>
          <w:p w14:paraId="7CA5BA6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（十二）审议股权激励计划和员工持股计划；</w:t>
            </w:r>
          </w:p>
          <w:p w14:paraId="3725ABE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（十三）审议法律、行政法规、部门规章或本章程规定应当由</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决定的其他事项。</w:t>
            </w:r>
          </w:p>
          <w:p w14:paraId="735941B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股东会可以授权董事会对发行公司债券作出决议。</w:t>
            </w:r>
          </w:p>
          <w:p w14:paraId="36172BF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除法律、行政法规、中国证监会规定或证券交易所规则另有规定外</w:t>
            </w:r>
            <w:r>
              <w:rPr>
                <w:rFonts w:hint="eastAsia" w:ascii="Times New Roman" w:hAnsi="Times New Roman" w:cs="Times New Roman"/>
                <w:b w:val="0"/>
                <w:bCs w:val="0"/>
                <w:color w:val="000000"/>
                <w:sz w:val="21"/>
                <w:szCs w:val="21"/>
              </w:rPr>
              <w:t>，上述</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的职权不得通过授权的形式由董事会或其他机构和个人代为行使。</w:t>
            </w:r>
          </w:p>
        </w:tc>
      </w:tr>
      <w:tr w14:paraId="59AED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E9EC03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第四十二条 </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000000"/>
                <w:sz w:val="21"/>
                <w:szCs w:val="21"/>
              </w:rPr>
              <w:t>公司下列对外担保行为，须经</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审议通过：</w:t>
            </w:r>
          </w:p>
          <w:p w14:paraId="00048177">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0" w:afterAutospacing="0" w:line="240" w:lineRule="auto"/>
              <w:ind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本公司及本公司控股子公司的对外担保总额，超过最近一期经审计净资产的</w:t>
            </w:r>
            <w:r>
              <w:rPr>
                <w:rFonts w:hint="default" w:ascii="Times New Roman" w:hAnsi="Times New Roman" w:cs="Times New Roman"/>
                <w:b w:val="0"/>
                <w:bCs w:val="0"/>
                <w:color w:val="000000"/>
                <w:sz w:val="21"/>
                <w:szCs w:val="21"/>
              </w:rPr>
              <w:t>50</w:t>
            </w:r>
            <w:r>
              <w:rPr>
                <w:rFonts w:hint="eastAsia" w:ascii="Times New Roman" w:hAnsi="Times New Roman" w:cs="Times New Roman"/>
                <w:b w:val="0"/>
                <w:bCs w:val="0"/>
                <w:color w:val="000000"/>
                <w:sz w:val="21"/>
                <w:szCs w:val="21"/>
              </w:rPr>
              <w:t>%以后提供的任何担保；</w:t>
            </w:r>
          </w:p>
          <w:p w14:paraId="39ECA2AF">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0" w:afterAutospacing="0" w:line="240" w:lineRule="auto"/>
              <w:ind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公司的对外担保总额，超过最近一期经审计总资产的</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%以后提供的任何担保；</w:t>
            </w:r>
          </w:p>
          <w:p w14:paraId="5D152C24">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0" w:afterAutospacing="0" w:line="240" w:lineRule="auto"/>
              <w:ind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公司在一年内担保金额超过公司最近一期经审计总资产</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%的担保；</w:t>
            </w:r>
          </w:p>
          <w:p w14:paraId="21A734D9">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0" w:afterAutospacing="0" w:line="240" w:lineRule="auto"/>
              <w:ind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为资产负债率超过</w:t>
            </w:r>
            <w:r>
              <w:rPr>
                <w:rFonts w:hint="default" w:ascii="Times New Roman" w:hAnsi="Times New Roman" w:cs="Times New Roman"/>
                <w:b w:val="0"/>
                <w:bCs w:val="0"/>
                <w:color w:val="000000"/>
                <w:sz w:val="21"/>
                <w:szCs w:val="21"/>
              </w:rPr>
              <w:t>70</w:t>
            </w:r>
            <w:r>
              <w:rPr>
                <w:rFonts w:hint="eastAsia" w:ascii="Times New Roman" w:hAnsi="Times New Roman" w:cs="Times New Roman"/>
                <w:b w:val="0"/>
                <w:bCs w:val="0"/>
                <w:color w:val="000000"/>
                <w:sz w:val="21"/>
                <w:szCs w:val="21"/>
              </w:rPr>
              <w:t>%的担保对象提供的担保；</w:t>
            </w:r>
          </w:p>
          <w:p w14:paraId="7F5E8FC2">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0" w:afterAutospacing="0" w:line="240" w:lineRule="auto"/>
              <w:ind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单笔担保额超过最近一期经审计净资产</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%的担保；</w:t>
            </w:r>
          </w:p>
          <w:p w14:paraId="018091A3">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0" w:afterAutospacing="0" w:line="240" w:lineRule="auto"/>
              <w:ind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对股东、实际控制人及其关联方提供的担保；</w:t>
            </w:r>
          </w:p>
          <w:p w14:paraId="2457D370">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right="0" w:rightChars="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连续十二个月内担保金额超过公司最近一期经审计净资产的</w:t>
            </w:r>
            <w:r>
              <w:rPr>
                <w:rFonts w:hint="default" w:ascii="Times New Roman" w:hAnsi="Times New Roman" w:cs="Times New Roman"/>
                <w:b/>
                <w:bCs/>
                <w:strike/>
                <w:dstrike w:val="0"/>
                <w:color w:val="000000"/>
                <w:sz w:val="21"/>
                <w:szCs w:val="21"/>
              </w:rPr>
              <w:t>50</w:t>
            </w:r>
            <w:r>
              <w:rPr>
                <w:rFonts w:hint="eastAsia" w:ascii="Times New Roman" w:hAnsi="Times New Roman" w:cs="Times New Roman"/>
                <w:b/>
                <w:bCs/>
                <w:strike/>
                <w:dstrike w:val="0"/>
                <w:color w:val="000000"/>
                <w:sz w:val="21"/>
                <w:szCs w:val="21"/>
              </w:rPr>
              <w:t>%且绝对金额超过</w:t>
            </w:r>
            <w:r>
              <w:rPr>
                <w:rFonts w:hint="default" w:ascii="Times New Roman" w:hAnsi="Times New Roman" w:cs="Times New Roman"/>
                <w:b/>
                <w:bCs/>
                <w:strike/>
                <w:dstrike w:val="0"/>
                <w:color w:val="000000"/>
                <w:sz w:val="21"/>
                <w:szCs w:val="21"/>
              </w:rPr>
              <w:t>5</w:t>
            </w:r>
            <w:r>
              <w:rPr>
                <w:rFonts w:hint="eastAsia" w:ascii="Times New Roman" w:hAnsi="Times New Roman" w:cs="Times New Roman"/>
                <w:b/>
                <w:bCs/>
                <w:strike/>
                <w:dstrike w:val="0"/>
                <w:color w:val="000000"/>
                <w:sz w:val="21"/>
                <w:szCs w:val="21"/>
              </w:rPr>
              <w:t>,</w:t>
            </w:r>
            <w:r>
              <w:rPr>
                <w:rFonts w:hint="default" w:ascii="Times New Roman" w:hAnsi="Times New Roman" w:cs="Times New Roman"/>
                <w:b/>
                <w:bCs/>
                <w:strike/>
                <w:dstrike w:val="0"/>
                <w:color w:val="000000"/>
                <w:sz w:val="21"/>
                <w:szCs w:val="21"/>
              </w:rPr>
              <w:t>000</w:t>
            </w:r>
            <w:r>
              <w:rPr>
                <w:rFonts w:hint="eastAsia" w:ascii="Times New Roman" w:hAnsi="Times New Roman" w:cs="Times New Roman"/>
                <w:b/>
                <w:bCs/>
                <w:strike/>
                <w:dstrike w:val="0"/>
                <w:color w:val="000000"/>
                <w:sz w:val="21"/>
                <w:szCs w:val="21"/>
              </w:rPr>
              <w:t>万元，也须提交股东大会审议。</w:t>
            </w:r>
          </w:p>
          <w:p w14:paraId="2B7BBB5A">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right="0" w:rightChars="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违反审批权限和审议程序的责任追究机制按照公司对外担保管理制度等相关规定</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017498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第四十七条  公司下列对外担保行为，须经</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审议通过：</w:t>
            </w:r>
          </w:p>
          <w:p w14:paraId="3C255D4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（一）本公司及本公司控股子公司的对外担保总额，超过最近一期经审计净资产的</w:t>
            </w:r>
            <w:r>
              <w:rPr>
                <w:rFonts w:hint="default" w:ascii="Times New Roman" w:hAnsi="Times New Roman" w:cs="Times New Roman"/>
                <w:b w:val="0"/>
                <w:bCs w:val="0"/>
                <w:color w:val="000000"/>
                <w:sz w:val="21"/>
                <w:szCs w:val="21"/>
              </w:rPr>
              <w:t>50</w:t>
            </w:r>
            <w:r>
              <w:rPr>
                <w:rFonts w:hint="eastAsia" w:ascii="Times New Roman" w:hAnsi="Times New Roman" w:cs="Times New Roman"/>
                <w:b w:val="0"/>
                <w:bCs w:val="0"/>
                <w:color w:val="000000"/>
                <w:sz w:val="21"/>
                <w:szCs w:val="21"/>
              </w:rPr>
              <w:t>%以后提供的任何担保；</w:t>
            </w:r>
          </w:p>
          <w:p w14:paraId="35FAC0A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（二）公司的对外担保总额，超过最近一期经审计总资产的</w:t>
            </w:r>
            <w:bookmarkStart w:id="33" w:name="_GoBack"/>
            <w:bookmarkEnd w:id="33"/>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%以后提供的任何担保；</w:t>
            </w:r>
          </w:p>
          <w:p w14:paraId="1C461E0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（三）公司在一年内</w:t>
            </w:r>
            <w:r>
              <w:rPr>
                <w:rFonts w:hint="eastAsia" w:ascii="Times New Roman" w:hAnsi="Times New Roman" w:cs="Times New Roman"/>
                <w:b/>
                <w:bCs/>
                <w:color w:val="000000"/>
                <w:sz w:val="21"/>
                <w:szCs w:val="21"/>
              </w:rPr>
              <w:t>向他人提供</w:t>
            </w:r>
            <w:r>
              <w:rPr>
                <w:rFonts w:hint="eastAsia" w:ascii="Times New Roman" w:hAnsi="Times New Roman" w:cs="Times New Roman"/>
                <w:b w:val="0"/>
                <w:bCs w:val="0"/>
                <w:color w:val="000000"/>
                <w:sz w:val="21"/>
                <w:szCs w:val="21"/>
              </w:rPr>
              <w:t>担保</w:t>
            </w:r>
            <w:r>
              <w:rPr>
                <w:rFonts w:hint="eastAsia" w:ascii="Times New Roman" w:hAnsi="Times New Roman" w:cs="Times New Roman"/>
                <w:b/>
                <w:bCs/>
                <w:color w:val="000000"/>
                <w:sz w:val="21"/>
                <w:szCs w:val="21"/>
              </w:rPr>
              <w:t>的</w:t>
            </w:r>
            <w:r>
              <w:rPr>
                <w:rFonts w:hint="eastAsia" w:ascii="Times New Roman" w:hAnsi="Times New Roman" w:cs="Times New Roman"/>
                <w:b w:val="0"/>
                <w:bCs w:val="0"/>
                <w:color w:val="000000"/>
                <w:sz w:val="21"/>
                <w:szCs w:val="21"/>
              </w:rPr>
              <w:t>金额超过公司最近一期经审计总资产</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%的担保；</w:t>
            </w:r>
          </w:p>
          <w:p w14:paraId="5F8D4FE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（四）为资产负债率超过</w:t>
            </w:r>
            <w:r>
              <w:rPr>
                <w:rFonts w:hint="default" w:ascii="Times New Roman" w:hAnsi="Times New Roman" w:cs="Times New Roman"/>
                <w:b w:val="0"/>
                <w:bCs w:val="0"/>
                <w:color w:val="000000"/>
                <w:sz w:val="21"/>
                <w:szCs w:val="21"/>
              </w:rPr>
              <w:t>70</w:t>
            </w:r>
            <w:r>
              <w:rPr>
                <w:rFonts w:hint="eastAsia" w:ascii="Times New Roman" w:hAnsi="Times New Roman" w:cs="Times New Roman"/>
                <w:b w:val="0"/>
                <w:bCs w:val="0"/>
                <w:color w:val="000000"/>
                <w:sz w:val="21"/>
                <w:szCs w:val="21"/>
              </w:rPr>
              <w:t>%的担保对象提供的担保；</w:t>
            </w:r>
          </w:p>
          <w:p w14:paraId="7E7FAB0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（五）单笔担保额超过最近一期经审计净资产</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%的担保；</w:t>
            </w:r>
          </w:p>
          <w:p w14:paraId="526CB3C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（六）对股东、实际控制人及其关联方提供的担保。</w:t>
            </w:r>
          </w:p>
          <w:p w14:paraId="373BE96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违反审批权限和审议程序的责任追究机制按照公司对外担保管理制度等相关规定执行。</w:t>
            </w:r>
          </w:p>
        </w:tc>
      </w:tr>
      <w:tr w14:paraId="6C001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8D4BF7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第四十五条  本公司召开</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的地点为公司住所地或</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 xml:space="preserve">通知中指明的地点。 </w:t>
            </w:r>
          </w:p>
          <w:p w14:paraId="002B19B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将设置会场，以现场会议形式召开。公司还将提供网络或其他方式为股东参加</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提供便利。股东通过上述方式参加</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 xml:space="preserve">的，视为出席。 </w:t>
            </w:r>
          </w:p>
          <w:p w14:paraId="2F05939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strike/>
                <w:dstrike w:val="0"/>
                <w:color w:val="000000"/>
                <w:sz w:val="21"/>
                <w:szCs w:val="21"/>
              </w:rPr>
            </w:pPr>
            <w:r>
              <w:rPr>
                <w:rFonts w:hint="eastAsia" w:ascii="Times New Roman" w:hAnsi="Times New Roman" w:cs="Times New Roman"/>
                <w:b w:val="0"/>
                <w:bCs w:val="0"/>
                <w:strike/>
                <w:dstrike w:val="0"/>
                <w:color w:val="000000"/>
                <w:sz w:val="21"/>
                <w:szCs w:val="21"/>
              </w:rPr>
              <w:t>股东应当以书面形式委托代理人，由委托人签署或者由其以书面形式委托的代理人签署；委托人为法人的，应当加盖法人印章或者由其正式委任的代理人签署。</w:t>
            </w:r>
          </w:p>
          <w:p w14:paraId="494332C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提供网络投票或其他投票方式时，按照监管部门相关规定确定股东身份。</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41BE7B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第五十条  本公司召开</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的地点为公司住所地或</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 xml:space="preserve">通知中指明的地点。 </w:t>
            </w:r>
          </w:p>
          <w:p w14:paraId="5455C5B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将设置会场，以现场会议形式召开。公司还将提供网络投票或其他方式为股东参加</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提供便利。股东通过上述方式参加</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的，视为出席。</w:t>
            </w:r>
          </w:p>
          <w:p w14:paraId="30E09B6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发出股东会通知后，无正当理由，股东会现场会议召开地点不得变更。确需变更的，召集人应当在现场会议召开日前至少</w:t>
            </w:r>
            <w:r>
              <w:rPr>
                <w:rFonts w:hint="default" w:ascii="Times New Roman" w:hAnsi="Times New Roman" w:cs="Times New Roman"/>
                <w:b/>
                <w:bCs/>
                <w:color w:val="auto"/>
                <w:sz w:val="21"/>
                <w:szCs w:val="21"/>
              </w:rPr>
              <w:t>2</w:t>
            </w:r>
            <w:r>
              <w:rPr>
                <w:rFonts w:hint="eastAsia" w:ascii="Times New Roman" w:hAnsi="Times New Roman" w:cs="Times New Roman"/>
                <w:b/>
                <w:bCs/>
                <w:color w:val="auto"/>
                <w:sz w:val="21"/>
                <w:szCs w:val="21"/>
              </w:rPr>
              <w:t>个工作日公告并说明原因。</w:t>
            </w:r>
          </w:p>
          <w:p w14:paraId="10F272A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提供网络投票或其他投票方式时，按照监管部门相关规定确定股东身份。</w:t>
            </w:r>
          </w:p>
        </w:tc>
      </w:tr>
      <w:tr w14:paraId="02D14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0C4A7C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第四十七条  独立董事有权向董事会提议召开临时</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。对独立董事要求召开临时</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的提议，董事会应当根据法律、行政法规和本章程的规定，在收到提议后</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日内提出同意或不同意召开临时</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的书面反馈意见。</w:t>
            </w:r>
          </w:p>
          <w:p w14:paraId="387FB42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CACE17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第五十二条  </w:t>
            </w:r>
            <w:r>
              <w:rPr>
                <w:rFonts w:hint="eastAsia" w:ascii="Times New Roman" w:hAnsi="Times New Roman" w:cs="Times New Roman"/>
                <w:b/>
                <w:bCs/>
                <w:color w:val="auto"/>
                <w:sz w:val="21"/>
                <w:szCs w:val="21"/>
              </w:rPr>
              <w:t>董事会应当在规定的期限内按时召集股东会。</w:t>
            </w:r>
          </w:p>
          <w:p w14:paraId="6845807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经全体独立董事过半数同意，</w:t>
            </w:r>
            <w:r>
              <w:rPr>
                <w:rFonts w:hint="eastAsia" w:ascii="Times New Roman" w:hAnsi="Times New Roman" w:cs="Times New Roman"/>
                <w:b w:val="0"/>
                <w:bCs w:val="0"/>
                <w:color w:val="000000"/>
                <w:sz w:val="21"/>
                <w:szCs w:val="21"/>
              </w:rPr>
              <w:t>独立董事有权向董事会提议召开临时</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。对独立董事要求召开临时</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的提议，董事会应当根据法律、行政法规和本章程的规定，在收到提议后</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日内提出同意或不同意召开临时</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的书面反馈意见。</w:t>
            </w:r>
          </w:p>
          <w:p w14:paraId="089D714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r>
      <w:tr w14:paraId="04A58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2A436D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第五十条</w:t>
            </w:r>
            <w:r>
              <w:rPr>
                <w:rFonts w:hint="eastAsia" w:cs="Times New Roman"/>
                <w:b w:val="0"/>
                <w:bCs w:val="0"/>
                <w:color w:val="000000"/>
                <w:sz w:val="21"/>
                <w:szCs w:val="21"/>
                <w:lang w:val="en-US" w:eastAsia="zh-CN"/>
              </w:rPr>
              <w:t xml:space="preserve">  </w:t>
            </w:r>
            <w:r>
              <w:rPr>
                <w:rFonts w:hint="eastAsia" w:ascii="Times New Roman" w:hAnsi="Times New Roman" w:cs="Times New Roman"/>
                <w:b/>
                <w:bCs/>
                <w:strike/>
                <w:dstrike w:val="0"/>
                <w:color w:val="000000"/>
                <w:sz w:val="21"/>
                <w:szCs w:val="21"/>
              </w:rPr>
              <w:t>监事会</w:t>
            </w:r>
            <w:r>
              <w:rPr>
                <w:rFonts w:hint="eastAsia" w:ascii="Times New Roman" w:hAnsi="Times New Roman" w:cs="Times New Roman"/>
                <w:b w:val="0"/>
                <w:bCs w:val="0"/>
                <w:color w:val="000000"/>
                <w:sz w:val="21"/>
                <w:szCs w:val="21"/>
              </w:rPr>
              <w:t>或股东决定自行召集</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的，须书面通知董事会，同时向证券交易所备案。</w:t>
            </w:r>
          </w:p>
          <w:p w14:paraId="49652B9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在</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决议公告前，召集股东持股比例不得低于</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w:t>
            </w:r>
          </w:p>
          <w:p w14:paraId="7DAC824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监事会</w:t>
            </w:r>
            <w:r>
              <w:rPr>
                <w:rFonts w:hint="eastAsia" w:ascii="Times New Roman" w:hAnsi="Times New Roman" w:cs="Times New Roman"/>
                <w:b w:val="0"/>
                <w:bCs w:val="0"/>
                <w:color w:val="000000"/>
                <w:sz w:val="21"/>
                <w:szCs w:val="21"/>
              </w:rPr>
              <w:t>或召集股东应在发出</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通知及</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决议公告时，向证券交易所提交有关证明材料。</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02C0C42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val="0"/>
                <w:bCs w:val="0"/>
                <w:color w:val="auto"/>
                <w:sz w:val="21"/>
                <w:szCs w:val="21"/>
              </w:rPr>
              <w:t>第五十五条</w:t>
            </w:r>
            <w:r>
              <w:rPr>
                <w:rFonts w:hint="eastAsia" w:cs="Times New Roman"/>
                <w:b/>
                <w:bCs/>
                <w:color w:val="auto"/>
                <w:sz w:val="21"/>
                <w:szCs w:val="21"/>
                <w:lang w:val="en-US" w:eastAsia="zh-CN"/>
              </w:rPr>
              <w:t xml:space="preserve">  </w:t>
            </w:r>
            <w:r>
              <w:rPr>
                <w:rFonts w:hint="eastAsia" w:ascii="Times New Roman" w:hAnsi="Times New Roman" w:cs="Times New Roman"/>
                <w:b/>
                <w:bCs/>
                <w:color w:val="auto"/>
                <w:sz w:val="21"/>
                <w:szCs w:val="21"/>
              </w:rPr>
              <w:t>审计委员会</w:t>
            </w:r>
            <w:r>
              <w:rPr>
                <w:rFonts w:hint="eastAsia" w:ascii="Times New Roman" w:hAnsi="Times New Roman" w:cs="Times New Roman"/>
                <w:b w:val="0"/>
                <w:bCs w:val="0"/>
                <w:color w:val="auto"/>
                <w:sz w:val="21"/>
                <w:szCs w:val="21"/>
              </w:rPr>
              <w:t>或股东决定自行召集</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auto"/>
                <w:sz w:val="21"/>
                <w:szCs w:val="21"/>
              </w:rPr>
              <w:t>的，须书面通知董事会，同时向证券交易所备案</w:t>
            </w:r>
            <w:r>
              <w:rPr>
                <w:rFonts w:hint="eastAsia" w:ascii="Times New Roman" w:hAnsi="Times New Roman" w:cs="Times New Roman"/>
                <w:b/>
                <w:bCs/>
                <w:color w:val="auto"/>
                <w:sz w:val="21"/>
                <w:szCs w:val="21"/>
              </w:rPr>
              <w:t>。</w:t>
            </w:r>
          </w:p>
          <w:p w14:paraId="07F1986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审计委员会或召集股东应在发出股东会通知及股东会决议公告时，向证券交易所提交有关证明材料。</w:t>
            </w:r>
          </w:p>
          <w:p w14:paraId="2F74B62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在股东会决议公告前，召集股东持股比例不得低于</w:t>
            </w:r>
            <w:r>
              <w:rPr>
                <w:rFonts w:hint="default" w:ascii="Times New Roman" w:hAnsi="Times New Roman" w:cs="Times New Roman"/>
                <w:b/>
                <w:bCs/>
                <w:color w:val="auto"/>
                <w:sz w:val="21"/>
                <w:szCs w:val="21"/>
              </w:rPr>
              <w:t>10</w:t>
            </w:r>
            <w:r>
              <w:rPr>
                <w:rFonts w:hint="eastAsia" w:ascii="Times New Roman" w:hAnsi="Times New Roman" w:cs="Times New Roman"/>
                <w:b/>
                <w:bCs/>
                <w:color w:val="auto"/>
                <w:sz w:val="21"/>
                <w:szCs w:val="21"/>
              </w:rPr>
              <w:t>%。</w:t>
            </w:r>
          </w:p>
        </w:tc>
      </w:tr>
      <w:tr w14:paraId="4B385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5602A51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第五十四条  公司召开</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，董事会、</w:t>
            </w:r>
            <w:r>
              <w:rPr>
                <w:rFonts w:hint="eastAsia" w:ascii="Times New Roman" w:hAnsi="Times New Roman" w:cs="Times New Roman"/>
                <w:b/>
                <w:bCs/>
                <w:strike/>
                <w:dstrike w:val="0"/>
                <w:color w:val="000000"/>
                <w:sz w:val="21"/>
                <w:szCs w:val="21"/>
              </w:rPr>
              <w:t>监事会</w:t>
            </w:r>
            <w:r>
              <w:rPr>
                <w:rFonts w:hint="eastAsia" w:ascii="Times New Roman" w:hAnsi="Times New Roman" w:cs="Times New Roman"/>
                <w:b w:val="0"/>
                <w:bCs w:val="0"/>
                <w:color w:val="000000"/>
                <w:sz w:val="21"/>
                <w:szCs w:val="21"/>
              </w:rPr>
              <w:t>以及单独或者合并持有公司</w:t>
            </w:r>
            <w:r>
              <w:rPr>
                <w:rFonts w:hint="default" w:ascii="Times New Roman" w:hAnsi="Times New Roman" w:cs="Times New Roman"/>
                <w:b/>
                <w:bCs/>
                <w:strike/>
                <w:dstrike w:val="0"/>
                <w:color w:val="000000"/>
                <w:sz w:val="21"/>
                <w:szCs w:val="21"/>
              </w:rPr>
              <w:t>3</w:t>
            </w:r>
            <w:r>
              <w:rPr>
                <w:rFonts w:hint="eastAsia" w:ascii="Times New Roman" w:hAnsi="Times New Roman" w:cs="Times New Roman"/>
                <w:b/>
                <w:bCs/>
                <w:strike/>
                <w:dstrike w:val="0"/>
                <w:color w:val="000000"/>
                <w:sz w:val="21"/>
                <w:szCs w:val="21"/>
              </w:rPr>
              <w:t>%</w:t>
            </w:r>
            <w:r>
              <w:rPr>
                <w:rFonts w:hint="eastAsia" w:ascii="Times New Roman" w:hAnsi="Times New Roman" w:cs="Times New Roman"/>
                <w:b w:val="0"/>
                <w:bCs w:val="0"/>
                <w:color w:val="000000"/>
                <w:sz w:val="21"/>
                <w:szCs w:val="21"/>
              </w:rPr>
              <w:t>以上股份的股东，有权向公司提出提案。</w:t>
            </w:r>
          </w:p>
          <w:p w14:paraId="2D897B5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单独或者合计持有公司</w:t>
            </w:r>
            <w:r>
              <w:rPr>
                <w:rFonts w:hint="default" w:ascii="Times New Roman" w:hAnsi="Times New Roman" w:cs="Times New Roman"/>
                <w:b/>
                <w:bCs/>
                <w:strike/>
                <w:dstrike w:val="0"/>
                <w:color w:val="000000"/>
                <w:sz w:val="21"/>
                <w:szCs w:val="21"/>
              </w:rPr>
              <w:t>3</w:t>
            </w:r>
            <w:r>
              <w:rPr>
                <w:rFonts w:hint="eastAsia" w:ascii="Times New Roman" w:hAnsi="Times New Roman" w:cs="Times New Roman"/>
                <w:b/>
                <w:bCs/>
                <w:strike/>
                <w:dstrike w:val="0"/>
                <w:color w:val="000000"/>
                <w:sz w:val="21"/>
                <w:szCs w:val="21"/>
              </w:rPr>
              <w:t>%</w:t>
            </w:r>
            <w:r>
              <w:rPr>
                <w:rFonts w:hint="eastAsia" w:ascii="Times New Roman" w:hAnsi="Times New Roman" w:cs="Times New Roman"/>
                <w:b w:val="0"/>
                <w:bCs w:val="0"/>
                <w:color w:val="000000"/>
                <w:sz w:val="21"/>
                <w:szCs w:val="21"/>
              </w:rPr>
              <w:t>以上股份的股东，可以在</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召开</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日前提出临时提案并书面提交召集人。召集人应当在收到提案后</w:t>
            </w:r>
            <w:r>
              <w:rPr>
                <w:rFonts w:hint="default" w:ascii="Times New Roman" w:hAnsi="Times New Roman" w:cs="Times New Roman"/>
                <w:b w:val="0"/>
                <w:bCs w:val="0"/>
                <w:color w:val="000000"/>
                <w:sz w:val="21"/>
                <w:szCs w:val="21"/>
              </w:rPr>
              <w:t>2</w:t>
            </w:r>
            <w:r>
              <w:rPr>
                <w:rFonts w:hint="eastAsia" w:ascii="Times New Roman" w:hAnsi="Times New Roman" w:cs="Times New Roman"/>
                <w:b w:val="0"/>
                <w:bCs w:val="0"/>
                <w:color w:val="000000"/>
                <w:sz w:val="21"/>
                <w:szCs w:val="21"/>
              </w:rPr>
              <w:t>日内发出</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补充通知，公告临时提案的内容。</w:t>
            </w:r>
          </w:p>
          <w:p w14:paraId="76675A2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除前款规定的情形外，召集人在发出</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通知公告后，不得修改</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通知中已列明的提案或增加新的提案。</w:t>
            </w:r>
          </w:p>
          <w:p w14:paraId="54B5E9F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通知中未列明或不符合本章程</w:t>
            </w:r>
            <w:r>
              <w:rPr>
                <w:rFonts w:hint="eastAsia" w:ascii="Times New Roman" w:hAnsi="Times New Roman" w:cs="Times New Roman"/>
                <w:b/>
                <w:bCs/>
                <w:strike/>
                <w:dstrike w:val="0"/>
                <w:color w:val="000000"/>
                <w:sz w:val="21"/>
                <w:szCs w:val="21"/>
              </w:rPr>
              <w:t>第五十三条</w:t>
            </w:r>
            <w:r>
              <w:rPr>
                <w:rFonts w:hint="eastAsia" w:ascii="Times New Roman" w:hAnsi="Times New Roman" w:cs="Times New Roman"/>
                <w:b w:val="0"/>
                <w:bCs w:val="0"/>
                <w:color w:val="000000"/>
                <w:sz w:val="21"/>
                <w:szCs w:val="21"/>
              </w:rPr>
              <w:t>规定的提案，</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不得进行表决并作出决议。</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0991C07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第五十九条  公司召开</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，董事会、</w:t>
            </w:r>
            <w:r>
              <w:rPr>
                <w:rFonts w:hint="eastAsia" w:ascii="Times New Roman" w:hAnsi="Times New Roman" w:cs="Times New Roman"/>
                <w:b/>
                <w:bCs/>
                <w:color w:val="000000"/>
                <w:sz w:val="21"/>
                <w:szCs w:val="21"/>
              </w:rPr>
              <w:t>审计委员会</w:t>
            </w:r>
            <w:r>
              <w:rPr>
                <w:rFonts w:hint="eastAsia" w:ascii="Times New Roman" w:hAnsi="Times New Roman" w:cs="Times New Roman"/>
                <w:b w:val="0"/>
                <w:bCs w:val="0"/>
                <w:color w:val="000000"/>
                <w:sz w:val="21"/>
                <w:szCs w:val="21"/>
              </w:rPr>
              <w:t>以及单独或者合并持有公司</w:t>
            </w:r>
            <w:r>
              <w:rPr>
                <w:rFonts w:hint="default" w:ascii="Times New Roman" w:hAnsi="Times New Roman" w:cs="Times New Roman"/>
                <w:b/>
                <w:bCs/>
                <w:color w:val="auto"/>
                <w:sz w:val="21"/>
                <w:szCs w:val="21"/>
              </w:rPr>
              <w:t>1</w:t>
            </w:r>
            <w:r>
              <w:rPr>
                <w:rFonts w:hint="eastAsia" w:ascii="Times New Roman" w:hAnsi="Times New Roman" w:cs="Times New Roman"/>
                <w:b/>
                <w:bCs/>
                <w:color w:val="auto"/>
                <w:sz w:val="21"/>
                <w:szCs w:val="21"/>
              </w:rPr>
              <w:t>%</w:t>
            </w:r>
            <w:r>
              <w:rPr>
                <w:rFonts w:hint="eastAsia" w:ascii="Times New Roman" w:hAnsi="Times New Roman" w:cs="Times New Roman"/>
                <w:b w:val="0"/>
                <w:bCs w:val="0"/>
                <w:color w:val="000000"/>
                <w:sz w:val="21"/>
                <w:szCs w:val="21"/>
              </w:rPr>
              <w:t>以上股份的股东，有权向公司提出提案。</w:t>
            </w:r>
          </w:p>
          <w:p w14:paraId="6A2A31D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单独或者合计持有公司</w:t>
            </w:r>
            <w:r>
              <w:rPr>
                <w:rFonts w:hint="default" w:ascii="Times New Roman" w:hAnsi="Times New Roman" w:cs="Times New Roman"/>
                <w:b/>
                <w:bCs/>
                <w:color w:val="auto"/>
                <w:sz w:val="21"/>
                <w:szCs w:val="21"/>
              </w:rPr>
              <w:t>1</w:t>
            </w:r>
            <w:r>
              <w:rPr>
                <w:rFonts w:hint="eastAsia" w:ascii="Times New Roman" w:hAnsi="Times New Roman" w:cs="Times New Roman"/>
                <w:b/>
                <w:bCs/>
                <w:color w:val="auto"/>
                <w:sz w:val="21"/>
                <w:szCs w:val="21"/>
              </w:rPr>
              <w:t>%</w:t>
            </w:r>
            <w:r>
              <w:rPr>
                <w:rFonts w:hint="eastAsia" w:ascii="Times New Roman" w:hAnsi="Times New Roman" w:cs="Times New Roman"/>
                <w:b w:val="0"/>
                <w:bCs w:val="0"/>
                <w:color w:val="000000"/>
                <w:sz w:val="21"/>
                <w:szCs w:val="21"/>
              </w:rPr>
              <w:t>以上股份的股东，可以在</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召开</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日前提出临时提案并书面提交召集人。召集人应当在收到提案后</w:t>
            </w:r>
            <w:r>
              <w:rPr>
                <w:rFonts w:hint="default" w:ascii="Times New Roman" w:hAnsi="Times New Roman" w:cs="Times New Roman"/>
                <w:b w:val="0"/>
                <w:bCs w:val="0"/>
                <w:color w:val="000000"/>
                <w:sz w:val="21"/>
                <w:szCs w:val="21"/>
              </w:rPr>
              <w:t>2</w:t>
            </w:r>
            <w:r>
              <w:rPr>
                <w:rFonts w:hint="eastAsia" w:ascii="Times New Roman" w:hAnsi="Times New Roman" w:cs="Times New Roman"/>
                <w:b w:val="0"/>
                <w:bCs w:val="0"/>
                <w:color w:val="000000"/>
                <w:sz w:val="21"/>
                <w:szCs w:val="21"/>
              </w:rPr>
              <w:t>日内发出</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补充通知，公告临时提案的内容</w:t>
            </w:r>
            <w:r>
              <w:rPr>
                <w:rFonts w:hint="eastAsia" w:ascii="Times New Roman" w:hAnsi="Times New Roman" w:cs="Times New Roman"/>
                <w:b/>
                <w:bCs/>
                <w:color w:val="auto"/>
                <w:sz w:val="21"/>
                <w:szCs w:val="21"/>
              </w:rPr>
              <w:t>，并将该临时提案提交股东会审议。但临时提案违反法律、行政法规或者本章程的规定，或者不属于股东会职权范围的除外。</w:t>
            </w:r>
          </w:p>
          <w:p w14:paraId="75C0AB1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除前款规定的情形外，召集人在发出</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通知公告后，不得修改</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 xml:space="preserve">通知中已列明的提案或增加新的提案。 </w:t>
            </w:r>
          </w:p>
          <w:p w14:paraId="616459D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通知中未列明或不符合本章程规定的提案，</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不得进行表决并作出决议。</w:t>
            </w:r>
          </w:p>
        </w:tc>
      </w:tr>
      <w:tr w14:paraId="7B9C8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16688D9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sz w:val="21"/>
                <w:szCs w:val="21"/>
              </w:rPr>
            </w:pPr>
            <w:r>
              <w:rPr>
                <w:rFonts w:hint="eastAsia"/>
                <w:sz w:val="21"/>
                <w:szCs w:val="21"/>
              </w:rPr>
              <w:t>第六十二条  股东出具的委托他人出席</w:t>
            </w:r>
            <w:r>
              <w:rPr>
                <w:rFonts w:hint="eastAsia"/>
                <w:b/>
                <w:bCs/>
                <w:sz w:val="21"/>
                <w:szCs w:val="21"/>
              </w:rPr>
              <w:t>股东</w:t>
            </w:r>
            <w:r>
              <w:rPr>
                <w:rFonts w:hint="eastAsia" w:ascii="Times New Roman" w:hAnsi="Times New Roman" w:cs="Times New Roman"/>
                <w:b/>
                <w:bCs/>
                <w:strike/>
                <w:dstrike w:val="0"/>
                <w:color w:val="000000"/>
                <w:sz w:val="21"/>
                <w:szCs w:val="21"/>
              </w:rPr>
              <w:t>大</w:t>
            </w:r>
            <w:r>
              <w:rPr>
                <w:rFonts w:hint="eastAsia"/>
                <w:b/>
                <w:bCs/>
                <w:sz w:val="21"/>
                <w:szCs w:val="21"/>
              </w:rPr>
              <w:t>会</w:t>
            </w:r>
            <w:r>
              <w:rPr>
                <w:rFonts w:hint="eastAsia"/>
                <w:sz w:val="21"/>
                <w:szCs w:val="21"/>
              </w:rPr>
              <w:t>的授权委托书应当载明下列内容：</w:t>
            </w:r>
          </w:p>
          <w:p w14:paraId="7332818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sz w:val="21"/>
                <w:szCs w:val="21"/>
              </w:rPr>
            </w:pPr>
            <w:r>
              <w:rPr>
                <w:rFonts w:hint="eastAsia"/>
                <w:sz w:val="21"/>
                <w:szCs w:val="21"/>
              </w:rPr>
              <w:t>（一）代理人的姓名；</w:t>
            </w:r>
          </w:p>
          <w:p w14:paraId="196DE6E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b/>
                <w:bCs/>
                <w:strike/>
                <w:dstrike w:val="0"/>
                <w:sz w:val="21"/>
                <w:szCs w:val="21"/>
              </w:rPr>
            </w:pPr>
            <w:r>
              <w:rPr>
                <w:rFonts w:hint="eastAsia"/>
                <w:b/>
                <w:bCs/>
                <w:strike/>
                <w:dstrike w:val="0"/>
                <w:sz w:val="21"/>
                <w:szCs w:val="21"/>
              </w:rPr>
              <w:t>（二）是否具有表决权；</w:t>
            </w:r>
          </w:p>
          <w:p w14:paraId="7A7B100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sz w:val="21"/>
                <w:szCs w:val="21"/>
              </w:rPr>
            </w:pPr>
            <w:r>
              <w:rPr>
                <w:rFonts w:hint="eastAsia"/>
                <w:sz w:val="21"/>
                <w:szCs w:val="21"/>
              </w:rPr>
              <w:t>（三）</w:t>
            </w:r>
            <w:r>
              <w:rPr>
                <w:rFonts w:hint="eastAsia"/>
                <w:b/>
                <w:bCs/>
                <w:strike/>
                <w:dstrike w:val="0"/>
                <w:sz w:val="21"/>
                <w:szCs w:val="21"/>
              </w:rPr>
              <w:t>分别</w:t>
            </w:r>
            <w:r>
              <w:rPr>
                <w:rFonts w:hint="eastAsia"/>
                <w:sz w:val="21"/>
                <w:szCs w:val="21"/>
              </w:rPr>
              <w:t>对列入</w:t>
            </w:r>
            <w:r>
              <w:rPr>
                <w:rFonts w:hint="eastAsia"/>
                <w:b/>
                <w:bCs/>
                <w:sz w:val="21"/>
                <w:szCs w:val="21"/>
              </w:rPr>
              <w:t>股东</w:t>
            </w:r>
            <w:r>
              <w:rPr>
                <w:rFonts w:hint="eastAsia" w:ascii="Times New Roman" w:hAnsi="Times New Roman" w:cs="Times New Roman"/>
                <w:b/>
                <w:bCs/>
                <w:strike/>
                <w:dstrike w:val="0"/>
                <w:color w:val="000000"/>
                <w:sz w:val="21"/>
                <w:szCs w:val="21"/>
              </w:rPr>
              <w:t>大</w:t>
            </w:r>
            <w:r>
              <w:rPr>
                <w:rFonts w:hint="eastAsia"/>
                <w:b/>
                <w:bCs/>
                <w:sz w:val="21"/>
                <w:szCs w:val="21"/>
              </w:rPr>
              <w:t>会</w:t>
            </w:r>
            <w:r>
              <w:rPr>
                <w:rFonts w:hint="eastAsia"/>
                <w:sz w:val="21"/>
                <w:szCs w:val="21"/>
              </w:rPr>
              <w:t>议程的每一审议事项投赞成、反对或弃权票的指示；</w:t>
            </w:r>
          </w:p>
          <w:p w14:paraId="14E79B6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sz w:val="21"/>
                <w:szCs w:val="21"/>
              </w:rPr>
            </w:pPr>
            <w:r>
              <w:rPr>
                <w:rFonts w:hint="eastAsia"/>
                <w:sz w:val="21"/>
                <w:szCs w:val="21"/>
              </w:rPr>
              <w:t>（四）委托书签发日期和有效期限；</w:t>
            </w:r>
          </w:p>
          <w:p w14:paraId="6D9B524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sz w:val="21"/>
                <w:szCs w:val="21"/>
              </w:rPr>
              <w:t>（五）委托人签名（或盖章）。委托人为法人股东的，应加盖法人单位印章。</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1572A5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第六十七条  股东出具的委托他人出席</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的授权委托书应当载明下列内容：</w:t>
            </w:r>
          </w:p>
          <w:p w14:paraId="78E3A3C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（一）委托人姓名或者名称、持有公司股份的类别和数量；</w:t>
            </w:r>
          </w:p>
          <w:p w14:paraId="7B7C641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（二）代理人的姓名</w:t>
            </w:r>
            <w:r>
              <w:rPr>
                <w:rFonts w:hint="eastAsia" w:ascii="Times New Roman" w:hAnsi="Times New Roman" w:cs="Times New Roman"/>
                <w:b/>
                <w:bCs/>
                <w:color w:val="auto"/>
                <w:sz w:val="21"/>
                <w:szCs w:val="21"/>
              </w:rPr>
              <w:t>或者名称</w:t>
            </w:r>
            <w:r>
              <w:rPr>
                <w:rFonts w:hint="eastAsia" w:ascii="Times New Roman" w:hAnsi="Times New Roman" w:cs="Times New Roman"/>
                <w:b w:val="0"/>
                <w:bCs w:val="0"/>
                <w:color w:val="000000"/>
                <w:sz w:val="21"/>
                <w:szCs w:val="21"/>
              </w:rPr>
              <w:t>；</w:t>
            </w:r>
          </w:p>
          <w:p w14:paraId="4C9102F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w:t>
            </w:r>
            <w:r>
              <w:rPr>
                <w:rFonts w:hint="eastAsia" w:ascii="Times New Roman" w:hAnsi="Times New Roman" w:cs="Times New Roman"/>
                <w:b/>
                <w:bCs/>
                <w:color w:val="auto"/>
                <w:sz w:val="21"/>
                <w:szCs w:val="21"/>
              </w:rPr>
              <w:t>股东的具体指示，包括</w:t>
            </w:r>
            <w:r>
              <w:rPr>
                <w:rFonts w:hint="eastAsia" w:ascii="Times New Roman" w:hAnsi="Times New Roman" w:cs="Times New Roman"/>
                <w:b w:val="0"/>
                <w:bCs w:val="0"/>
                <w:color w:val="000000"/>
                <w:sz w:val="21"/>
                <w:szCs w:val="21"/>
              </w:rPr>
              <w:t>对列入</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议程的每一审议事项投赞成、反对或弃权票的指示等；</w:t>
            </w:r>
          </w:p>
          <w:p w14:paraId="6A80BF0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（四）委托书签发日期和有效期限；</w:t>
            </w:r>
          </w:p>
          <w:p w14:paraId="27CFEC6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（五）委托人签名（或盖章）。委托人为法人股东的，应加盖法人单位印章。</w:t>
            </w:r>
          </w:p>
        </w:tc>
      </w:tr>
      <w:tr w14:paraId="7D96B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8C1F52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第六十三条  委托书应当注明如果股东不作具体指示，股东代理人是否可以按自己的意思表决。</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0A3C53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default"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删除</w:t>
            </w:r>
          </w:p>
        </w:tc>
      </w:tr>
      <w:tr w14:paraId="6FD6D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5DA955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第六十四条  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p w14:paraId="5D5DE77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委托人为法人的，由其法定代表人或者董事会、其他决策机构决议授权的人作为代表出席公司的股东大会。</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2F0A66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第六十八条  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tc>
      </w:tr>
      <w:tr w14:paraId="0DEEF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F98A86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第六十七条  </w:t>
            </w:r>
            <w:r>
              <w:rPr>
                <w:rFonts w:hint="eastAsia" w:ascii="Times New Roman" w:hAnsi="Times New Roman" w:cs="Times New Roman"/>
                <w:b/>
                <w:bCs/>
                <w:strike/>
                <w:dstrike w:val="0"/>
                <w:color w:val="000000"/>
                <w:sz w:val="21"/>
                <w:szCs w:val="21"/>
              </w:rPr>
              <w:t>股东大会召开时，本公司全体董事、监事和董事会秘书应当出席会议，总经理和其他</w:t>
            </w:r>
            <w:r>
              <w:rPr>
                <w:rFonts w:hint="eastAsia" w:ascii="Times New Roman" w:hAnsi="Times New Roman" w:cs="Times New Roman"/>
                <w:b w:val="0"/>
                <w:bCs w:val="0"/>
                <w:color w:val="000000"/>
                <w:sz w:val="21"/>
                <w:szCs w:val="21"/>
              </w:rPr>
              <w:t>高级管理人员应当列席会议。</w:t>
            </w:r>
            <w:r>
              <w:rPr>
                <w:rFonts w:hint="eastAsia" w:ascii="Times New Roman" w:hAnsi="Times New Roman" w:cs="Times New Roman"/>
                <w:b/>
                <w:bCs/>
                <w:strike/>
                <w:dstrike w:val="0"/>
                <w:color w:val="000000"/>
                <w:sz w:val="21"/>
                <w:szCs w:val="21"/>
              </w:rPr>
              <w:t>公司应当通过视频、电话等方式为董事、监事和高级管理人员参与股东大会提供便利。</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FA6033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第七十一条  </w:t>
            </w:r>
            <w:r>
              <w:rPr>
                <w:rFonts w:hint="eastAsia" w:ascii="Times New Roman" w:hAnsi="Times New Roman" w:cs="Times New Roman"/>
                <w:b/>
                <w:bCs/>
                <w:color w:val="auto"/>
                <w:sz w:val="21"/>
                <w:szCs w:val="21"/>
              </w:rPr>
              <w:t>股东会要求董事、高级管理人员列席会议的，董事、高级管理人员应当列席并接受股东的质询。</w:t>
            </w:r>
          </w:p>
        </w:tc>
      </w:tr>
      <w:tr w14:paraId="541A9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41B9606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第七十四条  召集人应当保证会议记录内容真实、准确和完整。出席会议的董事、</w:t>
            </w:r>
            <w:r>
              <w:rPr>
                <w:rFonts w:hint="eastAsia" w:ascii="Times New Roman" w:hAnsi="Times New Roman" w:cs="Times New Roman"/>
                <w:b/>
                <w:bCs/>
                <w:strike/>
                <w:dstrike w:val="0"/>
                <w:color w:val="000000"/>
                <w:sz w:val="21"/>
                <w:szCs w:val="21"/>
              </w:rPr>
              <w:t>监事、</w:t>
            </w:r>
            <w:r>
              <w:rPr>
                <w:rFonts w:hint="eastAsia" w:ascii="Times New Roman" w:hAnsi="Times New Roman" w:cs="Times New Roman"/>
                <w:b w:val="0"/>
                <w:bCs w:val="0"/>
                <w:color w:val="000000"/>
                <w:sz w:val="21"/>
                <w:szCs w:val="21"/>
              </w:rPr>
              <w:t>董事会秘书、召集人或其代表、会议主持人应当在会议记录上签名。会议记录应当与现场出席股东的签名册及代理出席的委托书、网络方式表决情况的有效资料一并保存，保存期限为</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年。</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591179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第七十八条  召集人应当保证会议记录内容真实、准确和完整。出席</w:t>
            </w:r>
            <w:r>
              <w:rPr>
                <w:rFonts w:hint="eastAsia" w:ascii="Times New Roman" w:hAnsi="Times New Roman" w:cs="Times New Roman"/>
                <w:b/>
                <w:bCs/>
                <w:color w:val="auto"/>
                <w:sz w:val="21"/>
                <w:szCs w:val="21"/>
              </w:rPr>
              <w:t>或列席</w:t>
            </w:r>
            <w:r>
              <w:rPr>
                <w:rFonts w:hint="eastAsia" w:ascii="Times New Roman" w:hAnsi="Times New Roman" w:cs="Times New Roman"/>
                <w:b w:val="0"/>
                <w:bCs w:val="0"/>
                <w:color w:val="000000"/>
                <w:sz w:val="21"/>
                <w:szCs w:val="21"/>
              </w:rPr>
              <w:t>会议的董事、董事会秘书、召集人或其代表、会议主持人应当在会议记录上签名。会议记录应当与现场出席股东的签名册及代理出席的委托书、网络</w:t>
            </w:r>
            <w:r>
              <w:rPr>
                <w:rFonts w:hint="eastAsia" w:ascii="Times New Roman" w:hAnsi="Times New Roman" w:cs="Times New Roman"/>
                <w:b/>
                <w:bCs/>
                <w:color w:val="auto"/>
                <w:sz w:val="21"/>
                <w:szCs w:val="21"/>
              </w:rPr>
              <w:t>及其他</w:t>
            </w:r>
            <w:r>
              <w:rPr>
                <w:rFonts w:hint="eastAsia" w:ascii="Times New Roman" w:hAnsi="Times New Roman" w:cs="Times New Roman"/>
                <w:b w:val="0"/>
                <w:bCs w:val="0"/>
                <w:color w:val="000000"/>
                <w:sz w:val="21"/>
                <w:szCs w:val="21"/>
              </w:rPr>
              <w:t>方式表决情况的有效资料一并保存，保存期限为</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年。</w:t>
            </w:r>
          </w:p>
        </w:tc>
      </w:tr>
      <w:tr w14:paraId="5E66B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E20761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第七十七条  下列事项由</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以普通决议通过：</w:t>
            </w:r>
          </w:p>
          <w:p w14:paraId="16C0AA7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（一）董事会</w:t>
            </w:r>
            <w:r>
              <w:rPr>
                <w:rFonts w:hint="eastAsia" w:ascii="Times New Roman" w:hAnsi="Times New Roman" w:cs="Times New Roman"/>
                <w:b/>
                <w:bCs/>
                <w:strike/>
                <w:dstrike w:val="0"/>
                <w:color w:val="000000"/>
                <w:sz w:val="21"/>
                <w:szCs w:val="21"/>
              </w:rPr>
              <w:t>和监事会</w:t>
            </w:r>
            <w:r>
              <w:rPr>
                <w:rFonts w:hint="eastAsia" w:ascii="Times New Roman" w:hAnsi="Times New Roman" w:cs="Times New Roman"/>
                <w:b w:val="0"/>
                <w:bCs w:val="0"/>
                <w:color w:val="000000"/>
                <w:sz w:val="21"/>
                <w:szCs w:val="21"/>
              </w:rPr>
              <w:t>的工作报告；</w:t>
            </w:r>
          </w:p>
          <w:p w14:paraId="58B0D95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（二）董事会拟定的利润分配方案和弥补亏损方案；</w:t>
            </w:r>
          </w:p>
          <w:p w14:paraId="62C5F96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（三）董事会</w:t>
            </w:r>
            <w:r>
              <w:rPr>
                <w:rFonts w:hint="eastAsia" w:ascii="Times New Roman" w:hAnsi="Times New Roman" w:cs="Times New Roman"/>
                <w:b/>
                <w:bCs/>
                <w:strike/>
                <w:dstrike w:val="0"/>
                <w:color w:val="000000"/>
                <w:sz w:val="21"/>
                <w:szCs w:val="21"/>
              </w:rPr>
              <w:t>和监事会</w:t>
            </w:r>
            <w:r>
              <w:rPr>
                <w:rFonts w:hint="eastAsia" w:ascii="Times New Roman" w:hAnsi="Times New Roman" w:cs="Times New Roman"/>
                <w:b w:val="0"/>
                <w:bCs w:val="0"/>
                <w:color w:val="000000"/>
                <w:sz w:val="21"/>
                <w:szCs w:val="21"/>
              </w:rPr>
              <w:t>成员的任免及其报酬和支付方法；</w:t>
            </w:r>
          </w:p>
          <w:p w14:paraId="0CBC816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（四）公司年度预算方案、决算方案；</w:t>
            </w:r>
          </w:p>
          <w:p w14:paraId="3227178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（五）公司年度报告；</w:t>
            </w:r>
          </w:p>
          <w:p w14:paraId="66B28C1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（六）除法律、行政法规规定或者本章程规定应当以特别决议通过以外的其他事项。</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1A208F5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第八十一条  下列事项由</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以普通决议通过：</w:t>
            </w:r>
          </w:p>
          <w:p w14:paraId="1646CDD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（一）董事会的工作报告；</w:t>
            </w:r>
          </w:p>
          <w:p w14:paraId="10D7036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（二）董事会拟定的利润分配方案和弥补亏损方案；</w:t>
            </w:r>
          </w:p>
          <w:p w14:paraId="7E2D4B9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（三）董事会成员的任免及其报酬和支付方法；</w:t>
            </w:r>
          </w:p>
          <w:p w14:paraId="0E9C7CA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（四）</w:t>
            </w:r>
            <w:r>
              <w:rPr>
                <w:rFonts w:hint="eastAsia" w:ascii="Times New Roman" w:hAnsi="Times New Roman" w:cs="Times New Roman"/>
                <w:b w:val="0"/>
                <w:bCs w:val="0"/>
                <w:color w:val="000000"/>
                <w:sz w:val="21"/>
                <w:szCs w:val="21"/>
              </w:rPr>
              <w:t>除法律、行政法规规定或者本章程规定应当以特别决议通过以外的其他事项。</w:t>
            </w:r>
          </w:p>
        </w:tc>
      </w:tr>
      <w:tr w14:paraId="62751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488E26F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第八十二条  董事</w:t>
            </w:r>
            <w:r>
              <w:rPr>
                <w:rFonts w:hint="eastAsia" w:ascii="Times New Roman" w:hAnsi="Times New Roman" w:cs="Times New Roman"/>
                <w:b/>
                <w:bCs/>
                <w:strike/>
                <w:dstrike w:val="0"/>
                <w:color w:val="000000"/>
                <w:sz w:val="21"/>
                <w:szCs w:val="21"/>
              </w:rPr>
              <w:t>、监事</w:t>
            </w:r>
            <w:r>
              <w:rPr>
                <w:rFonts w:hint="eastAsia" w:ascii="Times New Roman" w:hAnsi="Times New Roman" w:cs="Times New Roman"/>
                <w:b w:val="0"/>
                <w:bCs w:val="0"/>
                <w:color w:val="000000"/>
                <w:sz w:val="21"/>
                <w:szCs w:val="21"/>
              </w:rPr>
              <w:t>候选人名单以提案的方式提请</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表决。董事</w:t>
            </w:r>
            <w:r>
              <w:rPr>
                <w:rFonts w:hint="eastAsia" w:ascii="Times New Roman" w:hAnsi="Times New Roman" w:cs="Times New Roman"/>
                <w:b/>
                <w:bCs/>
                <w:strike/>
                <w:dstrike w:val="0"/>
                <w:color w:val="000000"/>
                <w:sz w:val="21"/>
                <w:szCs w:val="21"/>
              </w:rPr>
              <w:t>、监事</w:t>
            </w:r>
            <w:r>
              <w:rPr>
                <w:rFonts w:hint="eastAsia" w:ascii="Times New Roman" w:hAnsi="Times New Roman" w:cs="Times New Roman"/>
                <w:b w:val="0"/>
                <w:bCs w:val="0"/>
                <w:color w:val="000000"/>
                <w:sz w:val="21"/>
                <w:szCs w:val="21"/>
              </w:rPr>
              <w:t>候选人按照下列程序提名：</w:t>
            </w:r>
          </w:p>
          <w:p w14:paraId="53D7D754">
            <w:pPr>
              <w:keepNext w:val="0"/>
              <w:keepLines w:val="0"/>
              <w:pageBreakBefore w:val="0"/>
              <w:widowControl w:val="0"/>
              <w:numPr>
                <w:ilvl w:val="0"/>
                <w:numId w:val="4"/>
              </w:numPr>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董事会、监事会、单独或者合并持有公司已发行股份</w:t>
            </w:r>
            <w:r>
              <w:rPr>
                <w:rFonts w:hint="default" w:ascii="Times New Roman" w:hAnsi="Times New Roman" w:cs="Times New Roman"/>
                <w:b/>
                <w:bCs/>
                <w:strike/>
                <w:dstrike w:val="0"/>
                <w:color w:val="000000"/>
                <w:sz w:val="21"/>
                <w:szCs w:val="21"/>
              </w:rPr>
              <w:t>3</w:t>
            </w:r>
            <w:r>
              <w:rPr>
                <w:rFonts w:hint="eastAsia" w:ascii="Times New Roman" w:hAnsi="Times New Roman" w:cs="Times New Roman"/>
                <w:b/>
                <w:bCs/>
                <w:strike/>
                <w:dstrike w:val="0"/>
                <w:color w:val="000000"/>
                <w:sz w:val="21"/>
                <w:szCs w:val="21"/>
              </w:rPr>
              <w:t>%以上的股东可以以提案的方式提出董事、监事候选人。</w:t>
            </w:r>
            <w:r>
              <w:rPr>
                <w:rFonts w:hint="eastAsia" w:ascii="Times New Roman" w:hAnsi="Times New Roman" w:cs="Times New Roman"/>
                <w:b w:val="0"/>
                <w:bCs w:val="0"/>
                <w:color w:val="000000"/>
                <w:sz w:val="21"/>
                <w:szCs w:val="21"/>
              </w:rPr>
              <w:t>董事会、</w:t>
            </w:r>
            <w:r>
              <w:rPr>
                <w:rFonts w:hint="eastAsia" w:ascii="Times New Roman" w:hAnsi="Times New Roman" w:cs="Times New Roman"/>
                <w:b/>
                <w:bCs/>
                <w:strike/>
                <w:dstrike w:val="0"/>
                <w:color w:val="000000"/>
                <w:sz w:val="21"/>
                <w:szCs w:val="21"/>
              </w:rPr>
              <w:t>监事会、</w:t>
            </w:r>
            <w:r>
              <w:rPr>
                <w:rFonts w:hint="eastAsia" w:ascii="Times New Roman" w:hAnsi="Times New Roman" w:cs="Times New Roman"/>
                <w:b w:val="0"/>
                <w:bCs w:val="0"/>
                <w:color w:val="000000"/>
                <w:sz w:val="21"/>
                <w:szCs w:val="21"/>
              </w:rPr>
              <w:t>单独或者合并持有公司已发行股份</w:t>
            </w:r>
            <w:r>
              <w:rPr>
                <w:rFonts w:hint="default" w:ascii="Times New Roman" w:hAnsi="Times New Roman" w:cs="Times New Roman"/>
                <w:b w:val="0"/>
                <w:bCs w:val="0"/>
                <w:color w:val="000000"/>
                <w:sz w:val="21"/>
                <w:szCs w:val="21"/>
              </w:rPr>
              <w:t>1</w:t>
            </w:r>
            <w:r>
              <w:rPr>
                <w:rFonts w:hint="eastAsia" w:ascii="Times New Roman" w:hAnsi="Times New Roman" w:cs="Times New Roman"/>
                <w:b w:val="0"/>
                <w:bCs w:val="0"/>
                <w:color w:val="000000"/>
                <w:sz w:val="21"/>
                <w:szCs w:val="21"/>
              </w:rPr>
              <w:t>%以上的股东可以以提案的方式提出</w:t>
            </w:r>
            <w:r>
              <w:rPr>
                <w:rFonts w:hint="eastAsia" w:ascii="Times New Roman" w:hAnsi="Times New Roman" w:cs="Times New Roman"/>
                <w:b/>
                <w:bCs/>
                <w:strike/>
                <w:dstrike w:val="0"/>
                <w:color w:val="000000"/>
                <w:sz w:val="21"/>
                <w:szCs w:val="21"/>
              </w:rPr>
              <w:t>独立</w:t>
            </w:r>
            <w:r>
              <w:rPr>
                <w:rFonts w:hint="eastAsia" w:ascii="Times New Roman" w:hAnsi="Times New Roman" w:cs="Times New Roman"/>
                <w:b w:val="0"/>
                <w:bCs w:val="0"/>
                <w:color w:val="000000"/>
                <w:sz w:val="21"/>
                <w:szCs w:val="21"/>
              </w:rPr>
              <w:t>董事候选人。</w:t>
            </w:r>
          </w:p>
          <w:p w14:paraId="08D36E13">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p w14:paraId="22195A4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就选举董事</w:t>
            </w:r>
            <w:r>
              <w:rPr>
                <w:rFonts w:hint="eastAsia" w:ascii="Times New Roman" w:hAnsi="Times New Roman" w:cs="Times New Roman"/>
                <w:b/>
                <w:bCs/>
                <w:strike/>
                <w:dstrike w:val="0"/>
                <w:color w:val="000000"/>
                <w:sz w:val="21"/>
                <w:szCs w:val="21"/>
              </w:rPr>
              <w:t>、监事</w:t>
            </w:r>
            <w:r>
              <w:rPr>
                <w:rFonts w:hint="eastAsia" w:ascii="Times New Roman" w:hAnsi="Times New Roman" w:cs="Times New Roman"/>
                <w:b w:val="0"/>
                <w:bCs w:val="0"/>
                <w:color w:val="000000"/>
                <w:sz w:val="21"/>
                <w:szCs w:val="21"/>
              </w:rPr>
              <w:t>进行表决时，根据本章程的规定或者</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的决议，可以实行累积投票制。选举两名以上董事</w:t>
            </w:r>
            <w:r>
              <w:rPr>
                <w:rFonts w:hint="eastAsia" w:ascii="Times New Roman" w:hAnsi="Times New Roman" w:cs="Times New Roman"/>
                <w:b/>
                <w:bCs/>
                <w:strike/>
                <w:dstrike w:val="0"/>
                <w:color w:val="000000"/>
                <w:sz w:val="21"/>
                <w:szCs w:val="21"/>
              </w:rPr>
              <w:t>、监事</w:t>
            </w:r>
            <w:r>
              <w:rPr>
                <w:rFonts w:hint="eastAsia" w:ascii="Times New Roman" w:hAnsi="Times New Roman" w:cs="Times New Roman"/>
                <w:b w:val="0"/>
                <w:bCs w:val="0"/>
                <w:color w:val="000000"/>
                <w:sz w:val="21"/>
                <w:szCs w:val="21"/>
              </w:rPr>
              <w:t>时，应当采用累积投票制。</w:t>
            </w:r>
          </w:p>
          <w:p w14:paraId="497CEAB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D16E2B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第八十六条  董事候选人名单以提案的方式提请</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表决。董事候选人按照下列程序提名：</w:t>
            </w:r>
          </w:p>
          <w:p w14:paraId="0E254C58">
            <w:pPr>
              <w:keepNext w:val="0"/>
              <w:keepLines w:val="0"/>
              <w:pageBreakBefore w:val="0"/>
              <w:widowControl w:val="0"/>
              <w:numPr>
                <w:ilvl w:val="0"/>
                <w:numId w:val="5"/>
              </w:numPr>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董事会、</w:t>
            </w:r>
            <w:r>
              <w:rPr>
                <w:rFonts w:hint="eastAsia" w:ascii="Times New Roman" w:hAnsi="Times New Roman" w:cs="Times New Roman"/>
                <w:b/>
                <w:bCs/>
                <w:color w:val="auto"/>
                <w:sz w:val="21"/>
                <w:szCs w:val="21"/>
              </w:rPr>
              <w:t>审计委员会、</w:t>
            </w:r>
            <w:r>
              <w:rPr>
                <w:rFonts w:hint="eastAsia" w:ascii="Times New Roman" w:hAnsi="Times New Roman" w:cs="Times New Roman"/>
                <w:b w:val="0"/>
                <w:bCs w:val="0"/>
                <w:color w:val="000000"/>
                <w:sz w:val="21"/>
                <w:szCs w:val="21"/>
              </w:rPr>
              <w:t>单独或者合并持有公司已发行股份</w:t>
            </w:r>
            <w:r>
              <w:rPr>
                <w:rFonts w:hint="default" w:ascii="Times New Roman" w:hAnsi="Times New Roman" w:cs="Times New Roman"/>
                <w:b/>
                <w:bCs/>
                <w:color w:val="auto"/>
                <w:sz w:val="21"/>
                <w:szCs w:val="21"/>
              </w:rPr>
              <w:t>1</w:t>
            </w:r>
            <w:r>
              <w:rPr>
                <w:rFonts w:hint="eastAsia" w:ascii="Times New Roman" w:hAnsi="Times New Roman" w:cs="Times New Roman"/>
                <w:b/>
                <w:bCs/>
                <w:color w:val="auto"/>
                <w:sz w:val="21"/>
                <w:szCs w:val="21"/>
              </w:rPr>
              <w:t>%</w:t>
            </w:r>
            <w:r>
              <w:rPr>
                <w:rFonts w:hint="eastAsia" w:ascii="Times New Roman" w:hAnsi="Times New Roman" w:cs="Times New Roman"/>
                <w:b w:val="0"/>
                <w:bCs w:val="0"/>
                <w:color w:val="000000"/>
                <w:sz w:val="21"/>
                <w:szCs w:val="21"/>
              </w:rPr>
              <w:t>以上的股东可以以提案的方式提出董事候选人。</w:t>
            </w:r>
          </w:p>
          <w:p w14:paraId="20E42F81">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p w14:paraId="2EA638A7">
            <w:pPr>
              <w:keepNext w:val="0"/>
              <w:keepLines w:val="0"/>
              <w:pageBreakBefore w:val="0"/>
              <w:widowControl w:val="0"/>
              <w:numPr>
                <w:ilvl w:val="0"/>
                <w:numId w:val="6"/>
              </w:numPr>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就选举董事进行表决时，根据本章程的规定或者</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的决议，可以实行累积投票制；</w:t>
            </w:r>
            <w:r>
              <w:rPr>
                <w:rFonts w:hint="eastAsia" w:ascii="Times New Roman" w:hAnsi="Times New Roman" w:cs="Times New Roman"/>
                <w:b/>
                <w:bCs/>
                <w:color w:val="auto"/>
                <w:sz w:val="21"/>
                <w:szCs w:val="21"/>
              </w:rPr>
              <w:t>公司单一股东及其一致行动人拥有权益的股份比例达到</w:t>
            </w:r>
            <w:r>
              <w:rPr>
                <w:rFonts w:hint="default" w:ascii="Times New Roman" w:hAnsi="Times New Roman" w:cs="Times New Roman"/>
                <w:b/>
                <w:bCs/>
                <w:color w:val="auto"/>
                <w:sz w:val="21"/>
                <w:szCs w:val="21"/>
              </w:rPr>
              <w:t>30</w:t>
            </w:r>
            <w:r>
              <w:rPr>
                <w:rFonts w:hint="eastAsia" w:ascii="Times New Roman" w:hAnsi="Times New Roman" w:cs="Times New Roman"/>
                <w:b/>
                <w:bCs/>
                <w:color w:val="auto"/>
                <w:sz w:val="21"/>
                <w:szCs w:val="21"/>
              </w:rPr>
              <w:t>%以上后，股东会就选举董事进行表决时，应当采用累积投票制；</w:t>
            </w:r>
            <w:r>
              <w:rPr>
                <w:rFonts w:hint="eastAsia" w:ascii="Times New Roman" w:hAnsi="Times New Roman" w:cs="Times New Roman"/>
                <w:b w:val="0"/>
                <w:bCs w:val="0"/>
                <w:color w:val="000000"/>
                <w:sz w:val="21"/>
                <w:szCs w:val="21"/>
              </w:rPr>
              <w:t>选举两名以上董事时，应当采用累积投票制。</w:t>
            </w:r>
          </w:p>
          <w:p w14:paraId="0D01AED2">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cs="Times New Roman"/>
                <w:b w:val="0"/>
                <w:bCs w:val="0"/>
                <w:color w:val="000000"/>
                <w:sz w:val="21"/>
                <w:szCs w:val="21"/>
              </w:rPr>
              <w:t>……</w:t>
            </w:r>
          </w:p>
        </w:tc>
      </w:tr>
      <w:tr w14:paraId="6A2D9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624" w:type="dxa"/>
            <w:gridSpan w:val="3"/>
            <w:tcBorders>
              <w:top w:val="single" w:color="000000" w:sz="4" w:space="0"/>
              <w:left w:val="single" w:color="000000" w:sz="12" w:space="0"/>
              <w:bottom w:val="single" w:color="000000" w:sz="4" w:space="0"/>
              <w:right w:val="single" w:color="000000" w:sz="12" w:space="0"/>
            </w:tcBorders>
            <w:shd w:val="clear" w:color="auto" w:fill="FFFFFF"/>
            <w:vAlign w:val="center"/>
          </w:tcPr>
          <w:p w14:paraId="5BFEECD1">
            <w:pPr>
              <w:pStyle w:val="2"/>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ascii="Times New Roman" w:hAnsi="Times New Roman" w:cs="Times New Roman"/>
                <w:b w:val="0"/>
                <w:bCs w:val="0"/>
                <w:color w:val="000000"/>
                <w:sz w:val="21"/>
                <w:szCs w:val="21"/>
              </w:rPr>
            </w:pPr>
            <w:bookmarkStart w:id="7" w:name="_Toc6321091"/>
            <w:bookmarkStart w:id="8" w:name="_Toc6320699"/>
            <w:bookmarkStart w:id="9" w:name="_Toc6320734"/>
            <w:bookmarkStart w:id="10" w:name="_Toc12850"/>
            <w:r>
              <w:rPr>
                <w:rFonts w:ascii="Times New Roman" w:hAnsi="Times New Roman" w:cs="Times New Roman"/>
                <w:sz w:val="21"/>
                <w:szCs w:val="21"/>
              </w:rPr>
              <w:t xml:space="preserve">第五章  </w:t>
            </w:r>
            <w:r>
              <w:rPr>
                <w:rFonts w:hint="eastAsia" w:ascii="Times New Roman" w:hAnsi="Times New Roman" w:cs="Times New Roman"/>
                <w:b/>
                <w:bCs/>
                <w:color w:val="auto"/>
                <w:sz w:val="21"/>
                <w:szCs w:val="21"/>
                <w:lang w:val="en-US" w:eastAsia="zh-CN"/>
              </w:rPr>
              <w:t>董事和</w:t>
            </w:r>
            <w:r>
              <w:rPr>
                <w:rFonts w:ascii="Times New Roman" w:hAnsi="Times New Roman" w:cs="Times New Roman"/>
                <w:sz w:val="21"/>
                <w:szCs w:val="21"/>
              </w:rPr>
              <w:t>董事会</w:t>
            </w:r>
            <w:bookmarkEnd w:id="7"/>
            <w:bookmarkEnd w:id="8"/>
            <w:bookmarkEnd w:id="9"/>
            <w:bookmarkEnd w:id="10"/>
          </w:p>
        </w:tc>
      </w:tr>
      <w:tr w14:paraId="56C0A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D4A065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cs="Times New Roman"/>
                <w:b w:val="0"/>
                <w:bCs w:val="0"/>
                <w:color w:val="000000"/>
                <w:sz w:val="21"/>
                <w:szCs w:val="21"/>
                <w:lang w:val="en-US" w:eastAsia="zh-CN"/>
              </w:rPr>
              <w:t xml:space="preserve">第九十五条  </w:t>
            </w:r>
            <w:r>
              <w:rPr>
                <w:rFonts w:hint="eastAsia" w:ascii="Times New Roman" w:hAnsi="Times New Roman" w:cs="Times New Roman"/>
                <w:b w:val="0"/>
                <w:bCs w:val="0"/>
                <w:color w:val="000000"/>
                <w:sz w:val="21"/>
                <w:szCs w:val="21"/>
              </w:rPr>
              <w:t>……</w:t>
            </w:r>
          </w:p>
          <w:p w14:paraId="40444E4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（六）被中国证监会采取证券市场禁入措施，期限未满的；</w:t>
            </w:r>
          </w:p>
          <w:p w14:paraId="63DA26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（七）法律、行政法规或部门规章规定的其他内容。</w:t>
            </w:r>
          </w:p>
          <w:p w14:paraId="01DF980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违反本条规定选举、委派董事的，该选举、委派或者聘任无效。董事在任职期间出现本条情形的，公司解除其职务。</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3BD8205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cs="Times New Roman"/>
                <w:b w:val="0"/>
                <w:bCs w:val="0"/>
                <w:color w:val="000000"/>
                <w:sz w:val="21"/>
                <w:szCs w:val="21"/>
                <w:lang w:val="en-US" w:eastAsia="zh-CN"/>
              </w:rPr>
              <w:t xml:space="preserve">第九十九条  </w:t>
            </w:r>
            <w:r>
              <w:rPr>
                <w:rFonts w:hint="eastAsia" w:ascii="Times New Roman" w:hAnsi="Times New Roman" w:cs="Times New Roman"/>
                <w:b w:val="0"/>
                <w:bCs w:val="0"/>
                <w:color w:val="000000"/>
                <w:sz w:val="21"/>
                <w:szCs w:val="21"/>
              </w:rPr>
              <w:t>……</w:t>
            </w:r>
          </w:p>
          <w:p w14:paraId="671F488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（六）被中国证监会采取证券市场禁入措施，期限未满的；</w:t>
            </w:r>
          </w:p>
          <w:p w14:paraId="2AE38AD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（七）被证券交易所公开认定为不适合担任上市公司董事、高级管理人员等，期限未满的；</w:t>
            </w:r>
          </w:p>
          <w:p w14:paraId="360CFDD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（八）</w:t>
            </w:r>
            <w:r>
              <w:rPr>
                <w:rFonts w:hint="eastAsia" w:ascii="Times New Roman" w:hAnsi="Times New Roman" w:cs="Times New Roman"/>
                <w:b w:val="0"/>
                <w:bCs w:val="0"/>
                <w:color w:val="000000"/>
                <w:sz w:val="21"/>
                <w:szCs w:val="21"/>
              </w:rPr>
              <w:t>法律、行政法规或部门规章规定的其他内容。</w:t>
            </w:r>
          </w:p>
          <w:p w14:paraId="3C3B551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违反本条规定选举、委派董事的，该选举、委派或者聘任无效。董事在任职期间出现本条情形的，公司解除其职务</w:t>
            </w:r>
            <w:r>
              <w:rPr>
                <w:rFonts w:hint="eastAsia" w:ascii="Times New Roman" w:hAnsi="Times New Roman" w:cs="Times New Roman"/>
                <w:b/>
                <w:bCs/>
                <w:color w:val="auto"/>
                <w:sz w:val="21"/>
                <w:szCs w:val="21"/>
              </w:rPr>
              <w:t>，停止其履职</w:t>
            </w:r>
            <w:r>
              <w:rPr>
                <w:rFonts w:hint="eastAsia" w:ascii="Times New Roman" w:hAnsi="Times New Roman" w:cs="Times New Roman"/>
                <w:b w:val="0"/>
                <w:bCs w:val="0"/>
                <w:color w:val="000000"/>
                <w:sz w:val="21"/>
                <w:szCs w:val="21"/>
              </w:rPr>
              <w:t>。</w:t>
            </w:r>
          </w:p>
        </w:tc>
      </w:tr>
      <w:tr w14:paraId="3E667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86ACD5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第九十七条  董事应当遵守法律、行政法规和本章程，对公司负有下列忠实义务：</w:t>
            </w:r>
          </w:p>
          <w:p w14:paraId="3DA7295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（一）不得利用职权收受贿赂或者其他非法收入，不得侵占公司的财产；</w:t>
            </w:r>
          </w:p>
          <w:p w14:paraId="7F815E4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（二）不得挪用公司资金；</w:t>
            </w:r>
          </w:p>
          <w:p w14:paraId="52CF14E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（三）不得将公司资产或者资金以其个人名义或者其他个人名义开立账户存储；</w:t>
            </w:r>
          </w:p>
          <w:p w14:paraId="34C2844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（四）不得违反本章程的规定，未经股东大会或董事会同意，将公司资金借贷给他人或者以公司财产为他人提供担保；</w:t>
            </w:r>
          </w:p>
          <w:p w14:paraId="0CEE882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（五）不得违反本章程的规定或未经</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同意，与本公司订立合同或者进行交易；</w:t>
            </w:r>
          </w:p>
          <w:p w14:paraId="1332734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（六）未经</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同意，不得利用职务便利，为自己或他人谋取本应属于公司的商业机会，自营或者为他人经营与本公司同类的业务；</w:t>
            </w:r>
          </w:p>
          <w:p w14:paraId="722BCB7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（七）不得接受与公司交易的佣金归为己有；</w:t>
            </w:r>
          </w:p>
          <w:p w14:paraId="17C128B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（八）不得擅自披露公司秘密； </w:t>
            </w:r>
          </w:p>
          <w:p w14:paraId="4496118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（九）不得利用其关联关系损害公司利益； </w:t>
            </w:r>
          </w:p>
          <w:p w14:paraId="3CC6083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（十）法律、行政法规、部门规章及本章程规定的其他忠实义务。</w:t>
            </w:r>
          </w:p>
          <w:p w14:paraId="160CC99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董事违反本条规定所得的收入，应当归公司所有；给公司造成损失的，应当承担赔偿责任。</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0B56DA6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w:t>
            </w:r>
            <w:r>
              <w:rPr>
                <w:rFonts w:hint="eastAsia" w:cs="Times New Roman"/>
                <w:b w:val="0"/>
                <w:bCs w:val="0"/>
                <w:color w:val="000000"/>
                <w:sz w:val="21"/>
                <w:szCs w:val="21"/>
                <w:lang w:val="en-US" w:eastAsia="zh-CN"/>
              </w:rPr>
              <w:t>零</w:t>
            </w:r>
            <w:r>
              <w:rPr>
                <w:rFonts w:hint="eastAsia" w:ascii="Times New Roman" w:hAnsi="Times New Roman" w:cs="Times New Roman"/>
                <w:b w:val="0"/>
                <w:bCs w:val="0"/>
                <w:color w:val="000000"/>
                <w:sz w:val="21"/>
                <w:szCs w:val="21"/>
              </w:rPr>
              <w:t>一条  董事应当遵守法律、行政法规和本章程</w:t>
            </w:r>
            <w:r>
              <w:rPr>
                <w:rFonts w:hint="eastAsia" w:ascii="Times New Roman" w:hAnsi="Times New Roman" w:cs="Times New Roman"/>
                <w:b/>
                <w:bCs/>
                <w:color w:val="auto"/>
                <w:sz w:val="21"/>
                <w:szCs w:val="21"/>
              </w:rPr>
              <w:t>的规定，对公司负有忠实义务，应当采取措施避免自身利益与公司利益冲突，不得利用职权牟取不正当利益。</w:t>
            </w:r>
          </w:p>
          <w:p w14:paraId="43FC4B6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董事</w:t>
            </w:r>
            <w:r>
              <w:rPr>
                <w:rFonts w:hint="eastAsia" w:ascii="Times New Roman" w:hAnsi="Times New Roman" w:cs="Times New Roman"/>
                <w:b w:val="0"/>
                <w:bCs w:val="0"/>
                <w:color w:val="000000"/>
                <w:sz w:val="21"/>
                <w:szCs w:val="21"/>
              </w:rPr>
              <w:t>对公司负有下列忠实义务：</w:t>
            </w:r>
          </w:p>
          <w:p w14:paraId="33C884B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（一）不得侵占公司的财产、挪用公司资金；</w:t>
            </w:r>
          </w:p>
          <w:p w14:paraId="2F2D3F3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（二）不得将公司资产或者资金以其个人名义或者其他个人名义开立账户存储；</w:t>
            </w:r>
          </w:p>
          <w:p w14:paraId="7F696EF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（三）不得利用职权贿赂或者收受其他非法收入；</w:t>
            </w:r>
          </w:p>
          <w:p w14:paraId="1AA9F71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（四）未向董事会或者股东会报告，并按照本章程的规定经董事会或者股东会决议通过，不得直接或者间接与本公司订立合同或者进行交易；</w:t>
            </w:r>
          </w:p>
          <w:p w14:paraId="1D15A60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（五）不得利用职务便利，为自己或者他人谋取属于公司的商业机会，但向董事会或者股东会报告并经股东会决议通过，或者公司根据法律、行政法规或者本章程的规定，不能利用该商业机会的除外；</w:t>
            </w:r>
          </w:p>
          <w:p w14:paraId="45F695F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（六）未向董事会或者股东会报告，并经股东会决议通过，不得自营或者为他人经营与本公司同类的业务；</w:t>
            </w:r>
          </w:p>
          <w:p w14:paraId="0E2D4A2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（七）不得接受</w:t>
            </w:r>
            <w:r>
              <w:rPr>
                <w:rFonts w:hint="eastAsia" w:ascii="Times New Roman" w:hAnsi="Times New Roman" w:cs="Times New Roman"/>
                <w:b/>
                <w:bCs/>
                <w:color w:val="auto"/>
                <w:sz w:val="21"/>
                <w:szCs w:val="21"/>
              </w:rPr>
              <w:t>他人</w:t>
            </w:r>
            <w:r>
              <w:rPr>
                <w:rFonts w:hint="eastAsia" w:ascii="Times New Roman" w:hAnsi="Times New Roman" w:cs="Times New Roman"/>
                <w:b w:val="0"/>
                <w:bCs w:val="0"/>
                <w:color w:val="000000"/>
                <w:sz w:val="21"/>
                <w:szCs w:val="21"/>
              </w:rPr>
              <w:t>与公司交易的佣金归为己有；</w:t>
            </w:r>
          </w:p>
          <w:p w14:paraId="127CE22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（八）不得擅自披露公司秘密； </w:t>
            </w:r>
          </w:p>
          <w:p w14:paraId="3DFF366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（九）不得利用其关联关系损害公司利益； </w:t>
            </w:r>
          </w:p>
          <w:p w14:paraId="0884E26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（十）法律、行政法规、部门规章及本章程规定的其他忠实义务。</w:t>
            </w:r>
          </w:p>
          <w:p w14:paraId="6A74665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董事违反本条规定所得的收入，应当归公司所有；给公司造成损失的，应当承担赔偿责任。</w:t>
            </w:r>
          </w:p>
          <w:p w14:paraId="32EEBB8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董事、高级管理人员的近亲属，董事、高级管理人员或者其近亲属直接或者间接控制的企业，以及与董事、高级管理人员有其他关联关系的关联人，与公司订立合同或者进行交易，适用本条第二款第（四）项规定。</w:t>
            </w:r>
          </w:p>
        </w:tc>
      </w:tr>
      <w:tr w14:paraId="54DF3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524B227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第九十八条  董事应当遵守法律、行政法规和本章程，对公司负有下列勤勉义务：</w:t>
            </w:r>
          </w:p>
          <w:p w14:paraId="716C696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0FD1B1C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w:t>
            </w:r>
            <w:r>
              <w:rPr>
                <w:rFonts w:hint="eastAsia" w:cs="Times New Roman"/>
                <w:b w:val="0"/>
                <w:bCs w:val="0"/>
                <w:color w:val="000000"/>
                <w:sz w:val="21"/>
                <w:szCs w:val="21"/>
                <w:lang w:val="en-US" w:eastAsia="zh-CN"/>
              </w:rPr>
              <w:t>零</w:t>
            </w:r>
            <w:r>
              <w:rPr>
                <w:rFonts w:hint="eastAsia" w:ascii="Times New Roman" w:hAnsi="Times New Roman" w:cs="Times New Roman"/>
                <w:b w:val="0"/>
                <w:bCs w:val="0"/>
                <w:color w:val="000000"/>
                <w:sz w:val="21"/>
                <w:szCs w:val="21"/>
              </w:rPr>
              <w:t>二条  董事应当遵守法律、行政法规和本章程，</w:t>
            </w:r>
            <w:r>
              <w:rPr>
                <w:rFonts w:hint="eastAsia" w:ascii="Times New Roman" w:hAnsi="Times New Roman" w:cs="Times New Roman"/>
                <w:b/>
                <w:bCs/>
                <w:color w:val="auto"/>
                <w:sz w:val="21"/>
                <w:szCs w:val="21"/>
              </w:rPr>
              <w:t>对公司负有勤勉义务，执行职务应当为公司的最大利益尽到管理者通常应有的合理注意。</w:t>
            </w:r>
          </w:p>
          <w:p w14:paraId="62FBEF8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董事</w:t>
            </w:r>
            <w:r>
              <w:rPr>
                <w:rFonts w:hint="eastAsia" w:ascii="Times New Roman" w:hAnsi="Times New Roman" w:cs="Times New Roman"/>
                <w:b w:val="0"/>
                <w:bCs w:val="0"/>
                <w:color w:val="000000"/>
                <w:sz w:val="21"/>
                <w:szCs w:val="21"/>
              </w:rPr>
              <w:t>对公司负有下列勤勉义务：</w:t>
            </w:r>
          </w:p>
          <w:p w14:paraId="0FF020F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r>
      <w:tr w14:paraId="5ED2F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5422B35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第一百条</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000000"/>
                <w:sz w:val="21"/>
                <w:szCs w:val="21"/>
              </w:rPr>
              <w:t>董事可以在任期届满以前提出辞职。董事辞职应向董事会提交书面辞职报告。董事会将在</w:t>
            </w:r>
            <w:r>
              <w:rPr>
                <w:rFonts w:hint="default" w:ascii="Times New Roman" w:hAnsi="Times New Roman" w:cs="Times New Roman"/>
                <w:b w:val="0"/>
                <w:bCs w:val="0"/>
                <w:color w:val="000000"/>
                <w:sz w:val="21"/>
                <w:szCs w:val="21"/>
              </w:rPr>
              <w:t>2</w:t>
            </w:r>
            <w:r>
              <w:rPr>
                <w:rFonts w:hint="eastAsia" w:ascii="Times New Roman" w:hAnsi="Times New Roman" w:cs="Times New Roman"/>
                <w:b w:val="0"/>
                <w:bCs w:val="0"/>
                <w:color w:val="000000"/>
                <w:sz w:val="21"/>
                <w:szCs w:val="21"/>
              </w:rPr>
              <w:t>日内披露有关情况。</w:t>
            </w:r>
          </w:p>
          <w:p w14:paraId="2EE7A82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如因董事的辞职导致公司董事会低于法定最低人数时，在改选出的董事就任前，原董事仍应当依照法律、行政法规、部门规章和本章程规定，履行董事职务。</w:t>
            </w:r>
          </w:p>
          <w:p w14:paraId="78A40B9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除前款所列情形外，董事辞职自辞职报告送达董事会时生效。</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DC66E9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w:t>
            </w:r>
            <w:r>
              <w:rPr>
                <w:rFonts w:hint="eastAsia" w:cs="Times New Roman"/>
                <w:b w:val="0"/>
                <w:bCs w:val="0"/>
                <w:color w:val="000000"/>
                <w:sz w:val="21"/>
                <w:szCs w:val="21"/>
                <w:lang w:val="en-US" w:eastAsia="zh-CN"/>
              </w:rPr>
              <w:t>零</w:t>
            </w:r>
            <w:r>
              <w:rPr>
                <w:rFonts w:hint="eastAsia" w:ascii="Times New Roman" w:hAnsi="Times New Roman" w:cs="Times New Roman"/>
                <w:b w:val="0"/>
                <w:bCs w:val="0"/>
                <w:color w:val="000000"/>
                <w:sz w:val="21"/>
                <w:szCs w:val="21"/>
              </w:rPr>
              <w:t>四条</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000000"/>
                <w:sz w:val="21"/>
                <w:szCs w:val="21"/>
              </w:rPr>
              <w:t>董事可以在任期届满以前提出</w:t>
            </w:r>
            <w:r>
              <w:rPr>
                <w:rFonts w:hint="eastAsia" w:ascii="Times New Roman" w:hAnsi="Times New Roman" w:cs="Times New Roman"/>
                <w:b/>
                <w:bCs/>
                <w:color w:val="auto"/>
                <w:sz w:val="21"/>
                <w:szCs w:val="21"/>
              </w:rPr>
              <w:t>辞任</w:t>
            </w:r>
            <w:r>
              <w:rPr>
                <w:rFonts w:hint="eastAsia" w:ascii="Times New Roman" w:hAnsi="Times New Roman" w:cs="Times New Roman"/>
                <w:b w:val="0"/>
                <w:bCs w:val="0"/>
                <w:color w:val="000000"/>
                <w:sz w:val="21"/>
                <w:szCs w:val="21"/>
              </w:rPr>
              <w:t>。董事</w:t>
            </w:r>
            <w:r>
              <w:rPr>
                <w:rFonts w:hint="eastAsia" w:ascii="Times New Roman" w:hAnsi="Times New Roman" w:cs="Times New Roman"/>
                <w:b/>
                <w:bCs/>
                <w:color w:val="auto"/>
                <w:sz w:val="21"/>
                <w:szCs w:val="21"/>
              </w:rPr>
              <w:t>辞任</w:t>
            </w:r>
            <w:r>
              <w:rPr>
                <w:rFonts w:hint="eastAsia" w:ascii="Times New Roman" w:hAnsi="Times New Roman" w:cs="Times New Roman"/>
                <w:b w:val="0"/>
                <w:bCs w:val="0"/>
                <w:color w:val="000000"/>
                <w:sz w:val="21"/>
                <w:szCs w:val="21"/>
              </w:rPr>
              <w:t>应向</w:t>
            </w:r>
            <w:r>
              <w:rPr>
                <w:rFonts w:hint="eastAsia" w:ascii="Times New Roman" w:hAnsi="Times New Roman" w:cs="Times New Roman"/>
                <w:b/>
                <w:bCs/>
                <w:color w:val="auto"/>
                <w:sz w:val="21"/>
                <w:szCs w:val="21"/>
              </w:rPr>
              <w:t>公司</w:t>
            </w:r>
            <w:r>
              <w:rPr>
                <w:rFonts w:hint="eastAsia" w:ascii="Times New Roman" w:hAnsi="Times New Roman" w:cs="Times New Roman"/>
                <w:b w:val="0"/>
                <w:bCs w:val="0"/>
                <w:color w:val="000000"/>
                <w:sz w:val="21"/>
                <w:szCs w:val="21"/>
              </w:rPr>
              <w:t>提交书面辞职报告。</w:t>
            </w:r>
            <w:r>
              <w:rPr>
                <w:rFonts w:hint="eastAsia" w:ascii="Times New Roman" w:hAnsi="Times New Roman" w:cs="Times New Roman"/>
                <w:b/>
                <w:bCs/>
                <w:color w:val="auto"/>
                <w:sz w:val="21"/>
                <w:szCs w:val="21"/>
              </w:rPr>
              <w:t>公司收到辞职报告之日辞任生效，公司</w:t>
            </w:r>
            <w:r>
              <w:rPr>
                <w:rFonts w:hint="eastAsia" w:ascii="Times New Roman" w:hAnsi="Times New Roman" w:cs="Times New Roman"/>
                <w:b w:val="0"/>
                <w:bCs w:val="0"/>
                <w:color w:val="000000"/>
                <w:sz w:val="21"/>
                <w:szCs w:val="21"/>
              </w:rPr>
              <w:t>将在</w:t>
            </w:r>
            <w:r>
              <w:rPr>
                <w:rFonts w:hint="default" w:ascii="Times New Roman" w:hAnsi="Times New Roman" w:cs="Times New Roman"/>
                <w:b w:val="0"/>
                <w:bCs w:val="0"/>
                <w:color w:val="000000"/>
                <w:sz w:val="21"/>
                <w:szCs w:val="21"/>
              </w:rPr>
              <w:t>2</w:t>
            </w:r>
            <w:r>
              <w:rPr>
                <w:rFonts w:hint="eastAsia" w:ascii="Times New Roman" w:hAnsi="Times New Roman" w:cs="Times New Roman"/>
                <w:b w:val="0"/>
                <w:bCs w:val="0"/>
                <w:color w:val="000000"/>
                <w:sz w:val="21"/>
                <w:szCs w:val="21"/>
              </w:rPr>
              <w:t>个</w:t>
            </w:r>
            <w:r>
              <w:rPr>
                <w:rFonts w:hint="eastAsia" w:ascii="Times New Roman" w:hAnsi="Times New Roman" w:cs="Times New Roman"/>
                <w:b/>
                <w:bCs/>
                <w:color w:val="auto"/>
                <w:sz w:val="21"/>
                <w:szCs w:val="21"/>
              </w:rPr>
              <w:t>交易日</w:t>
            </w:r>
            <w:r>
              <w:rPr>
                <w:rFonts w:hint="eastAsia" w:ascii="Times New Roman" w:hAnsi="Times New Roman" w:cs="Times New Roman"/>
                <w:b w:val="0"/>
                <w:bCs w:val="0"/>
                <w:color w:val="000000"/>
                <w:sz w:val="21"/>
                <w:szCs w:val="21"/>
              </w:rPr>
              <w:t>内披露有关情况。</w:t>
            </w:r>
          </w:p>
          <w:p w14:paraId="78252A9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如因董事的</w:t>
            </w:r>
            <w:r>
              <w:rPr>
                <w:rFonts w:hint="eastAsia" w:ascii="Times New Roman" w:hAnsi="Times New Roman" w:cs="Times New Roman"/>
                <w:b/>
                <w:bCs/>
                <w:color w:val="auto"/>
                <w:sz w:val="21"/>
                <w:szCs w:val="21"/>
              </w:rPr>
              <w:t>辞任</w:t>
            </w:r>
            <w:r>
              <w:rPr>
                <w:rFonts w:hint="eastAsia" w:ascii="Times New Roman" w:hAnsi="Times New Roman" w:cs="Times New Roman"/>
                <w:b w:val="0"/>
                <w:bCs w:val="0"/>
                <w:color w:val="000000"/>
                <w:sz w:val="21"/>
                <w:szCs w:val="21"/>
              </w:rPr>
              <w:t>导致公司董事会</w:t>
            </w:r>
            <w:r>
              <w:rPr>
                <w:rFonts w:hint="eastAsia" w:ascii="Times New Roman" w:hAnsi="Times New Roman" w:cs="Times New Roman"/>
                <w:b/>
                <w:bCs/>
                <w:color w:val="auto"/>
                <w:sz w:val="21"/>
                <w:szCs w:val="21"/>
              </w:rPr>
              <w:t>成员</w:t>
            </w:r>
            <w:r>
              <w:rPr>
                <w:rFonts w:hint="eastAsia" w:ascii="Times New Roman" w:hAnsi="Times New Roman" w:cs="Times New Roman"/>
                <w:b w:val="0"/>
                <w:bCs w:val="0"/>
                <w:color w:val="000000"/>
                <w:sz w:val="21"/>
                <w:szCs w:val="21"/>
              </w:rPr>
              <w:t>低于法定最低人数时，在改选出的董事就任前，原董事仍应当依照法律、行政法规、部门规章和本章程规定，履行董事职务。</w:t>
            </w:r>
          </w:p>
        </w:tc>
      </w:tr>
      <w:tr w14:paraId="73A85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446CB2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第一百零一条  董事辞职生效或者任期届满，应向董事会办妥所有移交手续，其对公司和股东承担的忠实义务，在任期结束后并不当然解除，在其辞职生效或者任期届满之日起</w:t>
            </w:r>
            <w:r>
              <w:rPr>
                <w:rFonts w:hint="default" w:ascii="Times New Roman" w:hAnsi="Times New Roman" w:cs="Times New Roman"/>
                <w:b w:val="0"/>
                <w:bCs w:val="0"/>
                <w:color w:val="000000"/>
                <w:sz w:val="21"/>
                <w:szCs w:val="21"/>
              </w:rPr>
              <w:t>3</w:t>
            </w:r>
            <w:r>
              <w:rPr>
                <w:rFonts w:hint="eastAsia" w:ascii="Times New Roman" w:hAnsi="Times New Roman" w:cs="Times New Roman"/>
                <w:b w:val="0"/>
                <w:bCs w:val="0"/>
                <w:color w:val="000000"/>
                <w:sz w:val="21"/>
                <w:szCs w:val="21"/>
              </w:rPr>
              <w:t>年内仍然有效；董事对公司商业秘密保密的义务在其任职结束后仍然有效，直至该秘密成为公开信息。其他义务的持续期间应当根据公平的原则决定，视事件发生与离任之间时间的长短，以及与公司的关系在具体情况和条件下结束而定。</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9BCF96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w:t>
            </w:r>
            <w:r>
              <w:rPr>
                <w:rFonts w:hint="eastAsia" w:cs="Times New Roman"/>
                <w:b w:val="0"/>
                <w:bCs w:val="0"/>
                <w:color w:val="000000"/>
                <w:sz w:val="21"/>
                <w:szCs w:val="21"/>
                <w:lang w:val="en-US" w:eastAsia="zh-CN"/>
              </w:rPr>
              <w:t>零</w:t>
            </w:r>
            <w:r>
              <w:rPr>
                <w:rFonts w:hint="eastAsia" w:ascii="Times New Roman" w:hAnsi="Times New Roman" w:cs="Times New Roman"/>
                <w:b w:val="0"/>
                <w:bCs w:val="0"/>
                <w:color w:val="000000"/>
                <w:sz w:val="21"/>
                <w:szCs w:val="21"/>
              </w:rPr>
              <w:t>五条</w:t>
            </w:r>
            <w:r>
              <w:rPr>
                <w:rFonts w:hint="eastAsia" w:cs="Times New Roman"/>
                <w:b w:val="0"/>
                <w:bCs w:val="0"/>
                <w:color w:val="000000"/>
                <w:sz w:val="21"/>
                <w:szCs w:val="21"/>
                <w:lang w:val="en-US" w:eastAsia="zh-CN"/>
              </w:rPr>
              <w:t xml:space="preserve">  </w:t>
            </w:r>
            <w:r>
              <w:rPr>
                <w:rFonts w:hint="eastAsia" w:ascii="Times New Roman" w:hAnsi="Times New Roman" w:cs="Times New Roman"/>
                <w:b/>
                <w:bCs/>
                <w:color w:val="auto"/>
                <w:sz w:val="21"/>
                <w:szCs w:val="21"/>
              </w:rPr>
              <w:t>公司建立董事离职管理制度，明确对未履行完毕的公开承诺以及其他未尽事宜追责追偿的保障措施。</w:t>
            </w:r>
            <w:r>
              <w:rPr>
                <w:rFonts w:hint="eastAsia" w:ascii="Times New Roman" w:hAnsi="Times New Roman" w:cs="Times New Roman"/>
                <w:b w:val="0"/>
                <w:bCs w:val="0"/>
                <w:color w:val="000000"/>
                <w:sz w:val="21"/>
                <w:szCs w:val="21"/>
              </w:rPr>
              <w:t>董事</w:t>
            </w:r>
            <w:r>
              <w:rPr>
                <w:rFonts w:hint="eastAsia" w:ascii="Times New Roman" w:hAnsi="Times New Roman" w:cs="Times New Roman"/>
                <w:b/>
                <w:bCs/>
                <w:color w:val="auto"/>
                <w:sz w:val="21"/>
                <w:szCs w:val="21"/>
              </w:rPr>
              <w:t>辞任</w:t>
            </w:r>
            <w:r>
              <w:rPr>
                <w:rFonts w:hint="eastAsia" w:ascii="Times New Roman" w:hAnsi="Times New Roman" w:cs="Times New Roman"/>
                <w:b w:val="0"/>
                <w:bCs w:val="0"/>
                <w:color w:val="000000"/>
                <w:sz w:val="21"/>
                <w:szCs w:val="21"/>
              </w:rPr>
              <w:t>生效或者任期届满，应向董事会办妥所有移交手续，其对公司和股东承担的忠实义务，在任期结束后并不当然解除，在其</w:t>
            </w:r>
            <w:r>
              <w:rPr>
                <w:rFonts w:hint="eastAsia" w:ascii="Times New Roman" w:hAnsi="Times New Roman" w:cs="Times New Roman"/>
                <w:b/>
                <w:bCs/>
                <w:color w:val="auto"/>
                <w:sz w:val="21"/>
                <w:szCs w:val="21"/>
              </w:rPr>
              <w:t>辞任</w:t>
            </w:r>
            <w:r>
              <w:rPr>
                <w:rFonts w:hint="eastAsia" w:ascii="Times New Roman" w:hAnsi="Times New Roman" w:cs="Times New Roman"/>
                <w:b w:val="0"/>
                <w:bCs w:val="0"/>
                <w:color w:val="000000"/>
                <w:sz w:val="21"/>
                <w:szCs w:val="21"/>
              </w:rPr>
              <w:t>生效或者任期届满之日起</w:t>
            </w:r>
            <w:r>
              <w:rPr>
                <w:rFonts w:hint="default" w:ascii="Times New Roman" w:hAnsi="Times New Roman" w:cs="Times New Roman"/>
                <w:b w:val="0"/>
                <w:bCs w:val="0"/>
                <w:color w:val="000000"/>
                <w:sz w:val="21"/>
                <w:szCs w:val="21"/>
              </w:rPr>
              <w:t>3</w:t>
            </w:r>
            <w:r>
              <w:rPr>
                <w:rFonts w:hint="eastAsia" w:ascii="Times New Roman" w:hAnsi="Times New Roman" w:cs="Times New Roman"/>
                <w:b w:val="0"/>
                <w:bCs w:val="0"/>
                <w:color w:val="000000"/>
                <w:sz w:val="21"/>
                <w:szCs w:val="21"/>
              </w:rPr>
              <w:t>年内仍然有效；董事对公司商业秘密保密的义务在其任职结束后仍然有效，直至该秘密成为公开信息。其他义务的持续期间应当根据公平的原则决定，视事件发生与离任之间时间的长短，以及与公司的关系在具体情况和条件下结束而定。</w:t>
            </w:r>
            <w:r>
              <w:rPr>
                <w:rFonts w:hint="eastAsia" w:ascii="Times New Roman" w:hAnsi="Times New Roman" w:cs="Times New Roman"/>
                <w:b/>
                <w:bCs/>
                <w:color w:val="auto"/>
                <w:sz w:val="21"/>
                <w:szCs w:val="21"/>
              </w:rPr>
              <w:t>董事在任职期间因执行职务而应承担的责任，不因离任而免除或者终止。</w:t>
            </w:r>
          </w:p>
        </w:tc>
      </w:tr>
      <w:tr w14:paraId="1754E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10E760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34FCBBE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第一百</w:t>
            </w:r>
            <w:r>
              <w:rPr>
                <w:rFonts w:hint="eastAsia" w:cs="Times New Roman"/>
                <w:b/>
                <w:bCs/>
                <w:color w:val="000000"/>
                <w:sz w:val="21"/>
                <w:szCs w:val="21"/>
                <w:lang w:val="en-US" w:eastAsia="zh-CN"/>
              </w:rPr>
              <w:t>零</w:t>
            </w:r>
            <w:r>
              <w:rPr>
                <w:rFonts w:hint="eastAsia" w:ascii="Times New Roman" w:hAnsi="Times New Roman" w:cs="Times New Roman"/>
                <w:b/>
                <w:bCs/>
                <w:color w:val="auto"/>
                <w:sz w:val="21"/>
                <w:szCs w:val="21"/>
              </w:rPr>
              <w:t>六条</w:t>
            </w:r>
            <w:r>
              <w:rPr>
                <w:rFonts w:hint="eastAsia" w:cs="Times New Roman"/>
                <w:b/>
                <w:bCs/>
                <w:color w:val="auto"/>
                <w:sz w:val="21"/>
                <w:szCs w:val="21"/>
                <w:lang w:val="en-US" w:eastAsia="zh-CN"/>
              </w:rPr>
              <w:t xml:space="preserve">  </w:t>
            </w:r>
            <w:r>
              <w:rPr>
                <w:rFonts w:hint="eastAsia" w:ascii="Times New Roman" w:hAnsi="Times New Roman" w:cs="Times New Roman"/>
                <w:b/>
                <w:bCs/>
                <w:color w:val="auto"/>
                <w:sz w:val="21"/>
                <w:szCs w:val="21"/>
              </w:rPr>
              <w:t>股东会可以决议解任董事，决议作出之日解任生效。无正当理由，在任期届满前解任董事的，董事可以要求公司予以赔偿。</w:t>
            </w:r>
          </w:p>
        </w:tc>
      </w:tr>
      <w:tr w14:paraId="31946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5C9983C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第一百零三条  董事执行公司职务时违反法律、行政法规、部门规章或本章程的规定，给公司造成损失的，应当承担赔偿责任。</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19F646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w:t>
            </w:r>
            <w:r>
              <w:rPr>
                <w:rFonts w:hint="eastAsia" w:cs="Times New Roman"/>
                <w:b w:val="0"/>
                <w:bCs w:val="0"/>
                <w:color w:val="000000"/>
                <w:sz w:val="21"/>
                <w:szCs w:val="21"/>
                <w:lang w:val="en-US" w:eastAsia="zh-CN"/>
              </w:rPr>
              <w:t>零</w:t>
            </w:r>
            <w:r>
              <w:rPr>
                <w:rFonts w:hint="eastAsia" w:ascii="Times New Roman" w:hAnsi="Times New Roman" w:cs="Times New Roman"/>
                <w:b w:val="0"/>
                <w:bCs w:val="0"/>
                <w:color w:val="000000"/>
                <w:sz w:val="21"/>
                <w:szCs w:val="21"/>
              </w:rPr>
              <w:t>八条</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auto"/>
                <w:sz w:val="21"/>
                <w:szCs w:val="21"/>
              </w:rPr>
              <w:t>董事执行公司职务</w:t>
            </w:r>
            <w:r>
              <w:rPr>
                <w:rFonts w:hint="eastAsia" w:ascii="Times New Roman" w:hAnsi="Times New Roman" w:cs="Times New Roman"/>
                <w:b/>
                <w:bCs/>
                <w:color w:val="auto"/>
                <w:sz w:val="21"/>
                <w:szCs w:val="21"/>
              </w:rPr>
              <w:t>，给他人造成损害的，公司将承担赔偿责任；董事存在故意或者重大过失的，也应当承担赔偿责任。</w:t>
            </w:r>
          </w:p>
          <w:p w14:paraId="14EBAF0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董事执行公司职务时违反法律、行政法规、部门规章或本章程的规定，给公司造成损失的，应当承担赔偿责任。</w:t>
            </w:r>
          </w:p>
        </w:tc>
      </w:tr>
      <w:tr w14:paraId="17410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658119C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第一百零四条  独立董事应按照法律、行政法规、中国证监会和证券交易所的有关规定执行。</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06D804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删除</w:t>
            </w:r>
          </w:p>
        </w:tc>
      </w:tr>
      <w:tr w14:paraId="12C18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4F2F463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第一百零五条  公司设董事会，对</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负责。</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5FBC1E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删除</w:t>
            </w:r>
          </w:p>
        </w:tc>
      </w:tr>
      <w:tr w14:paraId="36AF3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A8E606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第一百零六条  董事会由</w:t>
            </w:r>
            <w:r>
              <w:rPr>
                <w:rFonts w:hint="default" w:ascii="Times New Roman" w:hAnsi="Times New Roman" w:cs="Times New Roman"/>
                <w:b w:val="0"/>
                <w:bCs w:val="0"/>
                <w:color w:val="000000"/>
                <w:sz w:val="21"/>
                <w:szCs w:val="21"/>
              </w:rPr>
              <w:t>5</w:t>
            </w:r>
            <w:r>
              <w:rPr>
                <w:rFonts w:hint="eastAsia" w:ascii="Times New Roman" w:hAnsi="Times New Roman" w:cs="Times New Roman"/>
                <w:b w:val="0"/>
                <w:bCs w:val="0"/>
                <w:color w:val="000000"/>
                <w:sz w:val="21"/>
                <w:szCs w:val="21"/>
              </w:rPr>
              <w:t>-</w:t>
            </w:r>
            <w:r>
              <w:rPr>
                <w:rFonts w:hint="default" w:ascii="Times New Roman" w:hAnsi="Times New Roman" w:cs="Times New Roman"/>
                <w:b w:val="0"/>
                <w:bCs w:val="0"/>
                <w:color w:val="000000"/>
                <w:sz w:val="21"/>
                <w:szCs w:val="21"/>
              </w:rPr>
              <w:t>19</w:t>
            </w:r>
            <w:r>
              <w:rPr>
                <w:rFonts w:hint="eastAsia" w:ascii="Times New Roman" w:hAnsi="Times New Roman" w:cs="Times New Roman"/>
                <w:b w:val="0"/>
                <w:bCs w:val="0"/>
                <w:color w:val="000000"/>
                <w:sz w:val="21"/>
                <w:szCs w:val="21"/>
              </w:rPr>
              <w:t>名董事组成。</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13BFB17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w:t>
            </w:r>
            <w:r>
              <w:rPr>
                <w:rFonts w:hint="eastAsia" w:cs="Times New Roman"/>
                <w:b w:val="0"/>
                <w:bCs w:val="0"/>
                <w:color w:val="000000"/>
                <w:sz w:val="21"/>
                <w:szCs w:val="21"/>
                <w:lang w:val="en-US" w:eastAsia="zh-CN"/>
              </w:rPr>
              <w:t>零九</w:t>
            </w:r>
            <w:r>
              <w:rPr>
                <w:rFonts w:hint="eastAsia" w:ascii="Times New Roman" w:hAnsi="Times New Roman" w:cs="Times New Roman"/>
                <w:b w:val="0"/>
                <w:bCs w:val="0"/>
                <w:color w:val="000000"/>
                <w:sz w:val="21"/>
                <w:szCs w:val="21"/>
              </w:rPr>
              <w:t>条</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000000"/>
                <w:sz w:val="21"/>
                <w:szCs w:val="21"/>
              </w:rPr>
              <w:t>公司设董事会，董事会由</w:t>
            </w:r>
            <w:r>
              <w:rPr>
                <w:rFonts w:hint="default" w:ascii="Times New Roman" w:hAnsi="Times New Roman" w:cs="Times New Roman"/>
                <w:b/>
                <w:bCs/>
                <w:color w:val="auto"/>
                <w:sz w:val="21"/>
                <w:szCs w:val="21"/>
              </w:rPr>
              <w:t>5</w:t>
            </w:r>
            <w:r>
              <w:rPr>
                <w:rFonts w:hint="eastAsia" w:ascii="Times New Roman" w:hAnsi="Times New Roman" w:cs="Times New Roman"/>
                <w:b w:val="0"/>
                <w:bCs w:val="0"/>
                <w:color w:val="000000"/>
                <w:sz w:val="21"/>
                <w:szCs w:val="21"/>
              </w:rPr>
              <w:t>名董事组成，</w:t>
            </w:r>
            <w:r>
              <w:rPr>
                <w:rFonts w:hint="eastAsia" w:ascii="Times New Roman" w:hAnsi="Times New Roman" w:cs="Times New Roman"/>
                <w:b/>
                <w:bCs/>
                <w:color w:val="auto"/>
                <w:sz w:val="21"/>
                <w:szCs w:val="21"/>
              </w:rPr>
              <w:t>设董事长</w:t>
            </w:r>
            <w:r>
              <w:rPr>
                <w:rFonts w:hint="default" w:ascii="Times New Roman" w:hAnsi="Times New Roman" w:cs="Times New Roman"/>
                <w:b/>
                <w:bCs/>
                <w:color w:val="auto"/>
                <w:sz w:val="21"/>
                <w:szCs w:val="21"/>
              </w:rPr>
              <w:t>1</w:t>
            </w:r>
            <w:r>
              <w:rPr>
                <w:rFonts w:hint="eastAsia" w:ascii="Times New Roman" w:hAnsi="Times New Roman" w:cs="Times New Roman"/>
                <w:b/>
                <w:bCs/>
                <w:color w:val="auto"/>
                <w:sz w:val="21"/>
                <w:szCs w:val="21"/>
              </w:rPr>
              <w:t>名，副董事长</w:t>
            </w:r>
            <w:r>
              <w:rPr>
                <w:rFonts w:hint="default" w:ascii="Times New Roman" w:hAnsi="Times New Roman" w:cs="Times New Roman"/>
                <w:b/>
                <w:bCs/>
                <w:color w:val="auto"/>
                <w:sz w:val="21"/>
                <w:szCs w:val="21"/>
              </w:rPr>
              <w:t>1</w:t>
            </w:r>
            <w:r>
              <w:rPr>
                <w:rFonts w:hint="eastAsia" w:ascii="Times New Roman" w:hAnsi="Times New Roman" w:cs="Times New Roman"/>
                <w:b/>
                <w:bCs/>
                <w:color w:val="auto"/>
                <w:sz w:val="21"/>
                <w:szCs w:val="21"/>
              </w:rPr>
              <w:t>名，独立董事</w:t>
            </w:r>
            <w:r>
              <w:rPr>
                <w:rFonts w:hint="default" w:ascii="Times New Roman" w:hAnsi="Times New Roman" w:cs="Times New Roman"/>
                <w:b/>
                <w:bCs/>
                <w:color w:val="auto"/>
                <w:sz w:val="21"/>
                <w:szCs w:val="21"/>
              </w:rPr>
              <w:t>2</w:t>
            </w:r>
            <w:r>
              <w:rPr>
                <w:rFonts w:hint="eastAsia" w:ascii="Times New Roman" w:hAnsi="Times New Roman" w:cs="Times New Roman"/>
                <w:b/>
                <w:bCs/>
                <w:color w:val="auto"/>
                <w:sz w:val="21"/>
                <w:szCs w:val="21"/>
              </w:rPr>
              <w:t>名。董事长和副董事长由董事会以全体董事的过半数选举产生</w:t>
            </w:r>
            <w:r>
              <w:rPr>
                <w:rFonts w:hint="eastAsia" w:ascii="Times New Roman" w:hAnsi="Times New Roman" w:cs="Times New Roman"/>
                <w:b w:val="0"/>
                <w:bCs w:val="0"/>
                <w:color w:val="000000"/>
                <w:sz w:val="21"/>
                <w:szCs w:val="21"/>
              </w:rPr>
              <w:t>。</w:t>
            </w:r>
          </w:p>
        </w:tc>
      </w:tr>
      <w:tr w14:paraId="24F09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49AAA04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第一百零七条  董事会行使下列职权：</w:t>
            </w:r>
          </w:p>
          <w:p w14:paraId="0C169FA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（一）召集</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，并向</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报告工作；</w:t>
            </w:r>
          </w:p>
          <w:p w14:paraId="38BF466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（二）执行</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的决议；</w:t>
            </w:r>
          </w:p>
          <w:p w14:paraId="5DE06D2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（三）决定公司的经营计划和投资方案；</w:t>
            </w:r>
          </w:p>
          <w:p w14:paraId="3E7BE91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（四）制订公司的年度财务预算方案、决算方案；</w:t>
            </w:r>
          </w:p>
          <w:p w14:paraId="1B34F6A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（五）制订公司的利润分配方案和弥补亏损方案；</w:t>
            </w:r>
          </w:p>
          <w:p w14:paraId="22E0B84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9D5BA8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第一百一十条</w:t>
            </w:r>
            <w:r>
              <w:rPr>
                <w:rFonts w:hint="eastAsia" w:cs="Times New Roman"/>
                <w:b w:val="0"/>
                <w:bCs w:val="0"/>
                <w:color w:val="000000"/>
                <w:sz w:val="21"/>
                <w:szCs w:val="21"/>
                <w:lang w:val="en-US" w:eastAsia="zh-CN"/>
              </w:rPr>
              <w:t xml:space="preserve">  </w:t>
            </w:r>
            <w:r>
              <w:rPr>
                <w:rFonts w:hint="eastAsia" w:ascii="Times New Roman" w:hAnsi="Times New Roman" w:cs="Times New Roman"/>
                <w:b w:val="0"/>
                <w:bCs w:val="0"/>
                <w:color w:val="000000"/>
                <w:sz w:val="21"/>
                <w:szCs w:val="21"/>
              </w:rPr>
              <w:t>董事会行使下列职权：</w:t>
            </w:r>
          </w:p>
          <w:p w14:paraId="1C7D830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（一）召集</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，并向</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报告工作；</w:t>
            </w:r>
          </w:p>
          <w:p w14:paraId="77BE25E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（二）执行</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的决议；</w:t>
            </w:r>
          </w:p>
          <w:p w14:paraId="6166801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（三）决定公司的经营计划和投资方案；</w:t>
            </w:r>
          </w:p>
          <w:p w14:paraId="4B8DFEF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（四）</w:t>
            </w:r>
            <w:r>
              <w:rPr>
                <w:rFonts w:hint="eastAsia" w:ascii="Times New Roman" w:hAnsi="Times New Roman" w:cs="Times New Roman"/>
                <w:b w:val="0"/>
                <w:bCs w:val="0"/>
                <w:color w:val="000000"/>
                <w:sz w:val="21"/>
                <w:szCs w:val="21"/>
              </w:rPr>
              <w:t xml:space="preserve">制订公司的利润分配方案和弥补亏损方案； </w:t>
            </w:r>
          </w:p>
          <w:p w14:paraId="7EE88B1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r>
      <w:tr w14:paraId="03451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4F809AE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第一百一十条  董事会应当确定对外投资、收购出售资产、资产抵押、对外担保事项、委托理财、关联交易、对外捐赠等权限，建立严格的审查和决策程序；重大投资项目应当组织有关专家、专业人员进行评审，并报</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批准。</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B812DC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第一百一十三条  董事会应当确定对外投资、收购出售资产、资产抵押、对外担保事项、委托理财、关联交易、对外捐赠等权限，建立严格的审查和决策程序；重大投资项目应当组织有关专家、专业人员进行评审，并报</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批准。</w:t>
            </w:r>
          </w:p>
          <w:p w14:paraId="7A4433A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公司董事会的具体审议权限如下（公司发生的相关交易事项达到《公司章程》规定的应当提交股东会审议的标准时，还应当在董事会审议通过后提交股东会审议）：</w:t>
            </w:r>
          </w:p>
          <w:p w14:paraId="7179ADA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（一）公司提供财务资助，应当经出席董事会会议的</w:t>
            </w:r>
            <w:r>
              <w:rPr>
                <w:rFonts w:hint="default" w:ascii="Times New Roman" w:hAnsi="Times New Roman" w:cs="Times New Roman"/>
                <w:b/>
                <w:bCs/>
                <w:color w:val="auto"/>
                <w:sz w:val="21"/>
                <w:szCs w:val="21"/>
              </w:rPr>
              <w:t>2</w:t>
            </w:r>
            <w:r>
              <w:rPr>
                <w:rFonts w:hint="eastAsia" w:ascii="Times New Roman" w:hAnsi="Times New Roman" w:cs="Times New Roman"/>
                <w:b/>
                <w:bCs/>
                <w:color w:val="auto"/>
                <w:sz w:val="21"/>
                <w:szCs w:val="21"/>
              </w:rPr>
              <w:t>/</w:t>
            </w:r>
            <w:r>
              <w:rPr>
                <w:rFonts w:hint="default" w:ascii="Times New Roman" w:hAnsi="Times New Roman" w:cs="Times New Roman"/>
                <w:b/>
                <w:bCs/>
                <w:color w:val="auto"/>
                <w:sz w:val="21"/>
                <w:szCs w:val="21"/>
              </w:rPr>
              <w:t>3</w:t>
            </w:r>
            <w:r>
              <w:rPr>
                <w:rFonts w:hint="eastAsia" w:ascii="Times New Roman" w:hAnsi="Times New Roman" w:cs="Times New Roman"/>
                <w:b/>
                <w:bCs/>
                <w:color w:val="auto"/>
                <w:sz w:val="21"/>
                <w:szCs w:val="21"/>
              </w:rPr>
              <w:t>以上董事同意并作出决议，及时履行信息披露义务。公司提供资助对象为公司合并报表范围内且持股比例超过</w:t>
            </w:r>
            <w:r>
              <w:rPr>
                <w:rFonts w:hint="default" w:ascii="Times New Roman" w:hAnsi="Times New Roman" w:cs="Times New Roman"/>
                <w:b/>
                <w:bCs/>
                <w:color w:val="auto"/>
                <w:sz w:val="21"/>
                <w:szCs w:val="21"/>
              </w:rPr>
              <w:t>50</w:t>
            </w:r>
            <w:r>
              <w:rPr>
                <w:rFonts w:hint="eastAsia" w:ascii="Times New Roman" w:hAnsi="Times New Roman" w:cs="Times New Roman"/>
                <w:b/>
                <w:bCs/>
                <w:color w:val="auto"/>
                <w:sz w:val="21"/>
                <w:szCs w:val="21"/>
              </w:rPr>
              <w:t>%的控股子公司，且该控股子公司其他股东中不包含公司的控股股东、实际控制人及其关联人的，可以免于适用本款规定。</w:t>
            </w:r>
          </w:p>
          <w:p w14:paraId="5E70E8A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（二）公司提供担保的，应当经董事会审议后及时对外披露。董事会审议担保事项时，必须经出席董事会会议的</w:t>
            </w:r>
            <w:r>
              <w:rPr>
                <w:rFonts w:hint="default" w:ascii="Times New Roman" w:hAnsi="Times New Roman" w:cs="Times New Roman"/>
                <w:b/>
                <w:bCs/>
                <w:color w:val="auto"/>
                <w:sz w:val="21"/>
                <w:szCs w:val="21"/>
              </w:rPr>
              <w:t>2</w:t>
            </w:r>
            <w:r>
              <w:rPr>
                <w:rFonts w:hint="eastAsia" w:ascii="Times New Roman" w:hAnsi="Times New Roman" w:cs="Times New Roman"/>
                <w:b/>
                <w:bCs/>
                <w:color w:val="auto"/>
                <w:sz w:val="21"/>
                <w:szCs w:val="21"/>
              </w:rPr>
              <w:t>/</w:t>
            </w:r>
            <w:r>
              <w:rPr>
                <w:rFonts w:hint="default" w:ascii="Times New Roman" w:hAnsi="Times New Roman" w:cs="Times New Roman"/>
                <w:b/>
                <w:bCs/>
                <w:color w:val="auto"/>
                <w:sz w:val="21"/>
                <w:szCs w:val="21"/>
              </w:rPr>
              <w:t>3</w:t>
            </w:r>
            <w:r>
              <w:rPr>
                <w:rFonts w:hint="eastAsia" w:ascii="Times New Roman" w:hAnsi="Times New Roman" w:cs="Times New Roman"/>
                <w:b/>
                <w:bCs/>
                <w:color w:val="auto"/>
                <w:sz w:val="21"/>
                <w:szCs w:val="21"/>
              </w:rPr>
              <w:t>以上董事审议同意。</w:t>
            </w:r>
          </w:p>
          <w:p w14:paraId="04A907C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（三）除本条第（一）项、第（二）项规定以外，公司发生的交易达到下列标准之一的，应当经董事会审议通过：</w:t>
            </w:r>
          </w:p>
          <w:p w14:paraId="6BE3A8D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default" w:ascii="Times New Roman" w:hAnsi="Times New Roman" w:cs="Times New Roman"/>
                <w:b/>
                <w:bCs/>
                <w:color w:val="auto"/>
                <w:sz w:val="21"/>
                <w:szCs w:val="21"/>
              </w:rPr>
              <w:t>1</w:t>
            </w:r>
            <w:r>
              <w:rPr>
                <w:rFonts w:hint="eastAsia" w:ascii="Times New Roman" w:hAnsi="Times New Roman" w:cs="Times New Roman"/>
                <w:b/>
                <w:bCs/>
                <w:color w:val="auto"/>
                <w:sz w:val="21"/>
                <w:szCs w:val="21"/>
              </w:rPr>
              <w:t>、交易涉及的资产总额占公司最近一期经审计总资产的</w:t>
            </w:r>
            <w:r>
              <w:rPr>
                <w:rFonts w:hint="default" w:ascii="Times New Roman" w:hAnsi="Times New Roman" w:cs="Times New Roman"/>
                <w:b/>
                <w:bCs/>
                <w:color w:val="auto"/>
                <w:sz w:val="21"/>
                <w:szCs w:val="21"/>
              </w:rPr>
              <w:t>10</w:t>
            </w:r>
            <w:r>
              <w:rPr>
                <w:rFonts w:hint="eastAsia" w:ascii="Times New Roman" w:hAnsi="Times New Roman" w:cs="Times New Roman"/>
                <w:b/>
                <w:bCs/>
                <w:color w:val="auto"/>
                <w:sz w:val="21"/>
                <w:szCs w:val="21"/>
              </w:rPr>
              <w:t>%以上，该交易涉及的资产总额同时存在账面值和评估值的，以较高者作为计算依据；</w:t>
            </w:r>
          </w:p>
          <w:p w14:paraId="1B3FD21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default" w:ascii="Times New Roman" w:hAnsi="Times New Roman" w:cs="Times New Roman"/>
                <w:b/>
                <w:bCs/>
                <w:color w:val="auto"/>
                <w:sz w:val="21"/>
                <w:szCs w:val="21"/>
              </w:rPr>
              <w:t>2</w:t>
            </w:r>
            <w:r>
              <w:rPr>
                <w:rFonts w:hint="eastAsia" w:ascii="Times New Roman" w:hAnsi="Times New Roman" w:cs="Times New Roman"/>
                <w:b/>
                <w:bCs/>
                <w:color w:val="auto"/>
                <w:sz w:val="21"/>
                <w:szCs w:val="21"/>
              </w:rPr>
              <w:t>、交易标的（如股权）在最近一个会计年度相关的营业收入占公司最近一个会计年度经审计营业收入的</w:t>
            </w:r>
            <w:r>
              <w:rPr>
                <w:rFonts w:hint="default" w:ascii="Times New Roman" w:hAnsi="Times New Roman" w:cs="Times New Roman"/>
                <w:b/>
                <w:bCs/>
                <w:color w:val="auto"/>
                <w:sz w:val="21"/>
                <w:szCs w:val="21"/>
              </w:rPr>
              <w:t>10</w:t>
            </w:r>
            <w:r>
              <w:rPr>
                <w:rFonts w:hint="eastAsia" w:ascii="Times New Roman" w:hAnsi="Times New Roman" w:cs="Times New Roman"/>
                <w:b/>
                <w:bCs/>
                <w:color w:val="auto"/>
                <w:sz w:val="21"/>
                <w:szCs w:val="21"/>
              </w:rPr>
              <w:t>%以上，且绝对金额超过</w:t>
            </w:r>
            <w:r>
              <w:rPr>
                <w:rFonts w:hint="default" w:ascii="Times New Roman" w:hAnsi="Times New Roman" w:cs="Times New Roman"/>
                <w:b/>
                <w:bCs/>
                <w:color w:val="auto"/>
                <w:sz w:val="21"/>
                <w:szCs w:val="21"/>
              </w:rPr>
              <w:t>1000</w:t>
            </w:r>
            <w:r>
              <w:rPr>
                <w:rFonts w:hint="eastAsia" w:ascii="Times New Roman" w:hAnsi="Times New Roman" w:cs="Times New Roman"/>
                <w:b/>
                <w:bCs/>
                <w:color w:val="auto"/>
                <w:sz w:val="21"/>
                <w:szCs w:val="21"/>
              </w:rPr>
              <w:t>万元；</w:t>
            </w:r>
          </w:p>
          <w:p w14:paraId="1FEB57A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default" w:ascii="Times New Roman" w:hAnsi="Times New Roman" w:cs="Times New Roman"/>
                <w:b/>
                <w:bCs/>
                <w:color w:val="auto"/>
                <w:sz w:val="21"/>
                <w:szCs w:val="21"/>
              </w:rPr>
              <w:t>3</w:t>
            </w:r>
            <w:r>
              <w:rPr>
                <w:rFonts w:hint="eastAsia" w:ascii="Times New Roman" w:hAnsi="Times New Roman" w:cs="Times New Roman"/>
                <w:b/>
                <w:bCs/>
                <w:color w:val="auto"/>
                <w:sz w:val="21"/>
                <w:szCs w:val="21"/>
              </w:rPr>
              <w:t>、交易标的（如股权）在最近一个会计年度相关的净利润占公司最近一个会计年度经审计净利润的</w:t>
            </w:r>
            <w:r>
              <w:rPr>
                <w:rFonts w:hint="default" w:ascii="Times New Roman" w:hAnsi="Times New Roman" w:cs="Times New Roman"/>
                <w:b/>
                <w:bCs/>
                <w:color w:val="auto"/>
                <w:sz w:val="21"/>
                <w:szCs w:val="21"/>
              </w:rPr>
              <w:t>10</w:t>
            </w:r>
            <w:r>
              <w:rPr>
                <w:rFonts w:hint="eastAsia" w:ascii="Times New Roman" w:hAnsi="Times New Roman" w:cs="Times New Roman"/>
                <w:b/>
                <w:bCs/>
                <w:color w:val="auto"/>
                <w:sz w:val="21"/>
                <w:szCs w:val="21"/>
              </w:rPr>
              <w:t>%以上，且绝对金额超过</w:t>
            </w:r>
            <w:r>
              <w:rPr>
                <w:rFonts w:hint="default" w:ascii="Times New Roman" w:hAnsi="Times New Roman" w:cs="Times New Roman"/>
                <w:b/>
                <w:bCs/>
                <w:color w:val="auto"/>
                <w:sz w:val="21"/>
                <w:szCs w:val="21"/>
              </w:rPr>
              <w:t>100</w:t>
            </w:r>
            <w:r>
              <w:rPr>
                <w:rFonts w:hint="eastAsia" w:ascii="Times New Roman" w:hAnsi="Times New Roman" w:cs="Times New Roman"/>
                <w:b/>
                <w:bCs/>
                <w:color w:val="auto"/>
                <w:sz w:val="21"/>
                <w:szCs w:val="21"/>
              </w:rPr>
              <w:t>万元；</w:t>
            </w:r>
          </w:p>
          <w:p w14:paraId="571165B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default" w:ascii="Times New Roman" w:hAnsi="Times New Roman" w:cs="Times New Roman"/>
                <w:b/>
                <w:bCs/>
                <w:color w:val="auto"/>
                <w:sz w:val="21"/>
                <w:szCs w:val="21"/>
              </w:rPr>
              <w:t>4</w:t>
            </w:r>
            <w:r>
              <w:rPr>
                <w:rFonts w:hint="eastAsia" w:ascii="Times New Roman" w:hAnsi="Times New Roman" w:cs="Times New Roman"/>
                <w:b/>
                <w:bCs/>
                <w:color w:val="auto"/>
                <w:sz w:val="21"/>
                <w:szCs w:val="21"/>
              </w:rPr>
              <w:t>、交易的成交金额（含承担债务和费用）占公司最近一期经审计净资产的</w:t>
            </w:r>
            <w:r>
              <w:rPr>
                <w:rFonts w:hint="default" w:ascii="Times New Roman" w:hAnsi="Times New Roman" w:cs="Times New Roman"/>
                <w:b/>
                <w:bCs/>
                <w:color w:val="auto"/>
                <w:sz w:val="21"/>
                <w:szCs w:val="21"/>
              </w:rPr>
              <w:t>10</w:t>
            </w:r>
            <w:r>
              <w:rPr>
                <w:rFonts w:hint="eastAsia" w:ascii="Times New Roman" w:hAnsi="Times New Roman" w:cs="Times New Roman"/>
                <w:b/>
                <w:bCs/>
                <w:color w:val="auto"/>
                <w:sz w:val="21"/>
                <w:szCs w:val="21"/>
              </w:rPr>
              <w:t>%以上，且绝对金额超过</w:t>
            </w:r>
            <w:r>
              <w:rPr>
                <w:rFonts w:hint="default" w:ascii="Times New Roman" w:hAnsi="Times New Roman" w:cs="Times New Roman"/>
                <w:b/>
                <w:bCs/>
                <w:color w:val="auto"/>
                <w:sz w:val="21"/>
                <w:szCs w:val="21"/>
              </w:rPr>
              <w:t>1000</w:t>
            </w:r>
            <w:r>
              <w:rPr>
                <w:rFonts w:hint="eastAsia" w:ascii="Times New Roman" w:hAnsi="Times New Roman" w:cs="Times New Roman"/>
                <w:b/>
                <w:bCs/>
                <w:color w:val="auto"/>
                <w:sz w:val="21"/>
                <w:szCs w:val="21"/>
              </w:rPr>
              <w:t>万元；</w:t>
            </w:r>
          </w:p>
          <w:p w14:paraId="6673564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default" w:ascii="Times New Roman" w:hAnsi="Times New Roman" w:cs="Times New Roman"/>
                <w:b/>
                <w:bCs/>
                <w:color w:val="auto"/>
                <w:sz w:val="21"/>
                <w:szCs w:val="21"/>
              </w:rPr>
              <w:t>5</w:t>
            </w:r>
            <w:r>
              <w:rPr>
                <w:rFonts w:hint="eastAsia" w:ascii="Times New Roman" w:hAnsi="Times New Roman" w:cs="Times New Roman"/>
                <w:b/>
                <w:bCs/>
                <w:color w:val="auto"/>
                <w:sz w:val="21"/>
                <w:szCs w:val="21"/>
              </w:rPr>
              <w:t>、交易产生的利润占公司最近一个会计年度经审计净利润的</w:t>
            </w:r>
            <w:r>
              <w:rPr>
                <w:rFonts w:hint="default" w:ascii="Times New Roman" w:hAnsi="Times New Roman" w:cs="Times New Roman"/>
                <w:b/>
                <w:bCs/>
                <w:color w:val="auto"/>
                <w:sz w:val="21"/>
                <w:szCs w:val="21"/>
              </w:rPr>
              <w:t>10</w:t>
            </w:r>
            <w:r>
              <w:rPr>
                <w:rFonts w:hint="eastAsia" w:ascii="Times New Roman" w:hAnsi="Times New Roman" w:cs="Times New Roman"/>
                <w:b/>
                <w:bCs/>
                <w:color w:val="auto"/>
                <w:sz w:val="21"/>
                <w:szCs w:val="21"/>
              </w:rPr>
              <w:t>%以上，且绝对金额超过</w:t>
            </w:r>
            <w:r>
              <w:rPr>
                <w:rFonts w:hint="default" w:ascii="Times New Roman" w:hAnsi="Times New Roman" w:cs="Times New Roman"/>
                <w:b/>
                <w:bCs/>
                <w:color w:val="auto"/>
                <w:sz w:val="21"/>
                <w:szCs w:val="21"/>
              </w:rPr>
              <w:t>100</w:t>
            </w:r>
            <w:r>
              <w:rPr>
                <w:rFonts w:hint="eastAsia" w:ascii="Times New Roman" w:hAnsi="Times New Roman" w:cs="Times New Roman"/>
                <w:b/>
                <w:bCs/>
                <w:color w:val="auto"/>
                <w:sz w:val="21"/>
                <w:szCs w:val="21"/>
              </w:rPr>
              <w:t>万元。</w:t>
            </w:r>
          </w:p>
          <w:p w14:paraId="70CBB16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上述指标涉及的数据如为负值，取其绝对值计算。</w:t>
            </w:r>
          </w:p>
          <w:p w14:paraId="5D5F120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（四）公司与关联人发生的交易（提供担保、提供财务资助除外）达到下列标准之一的，应当履行董事会审议程序后及时披露：</w:t>
            </w:r>
          </w:p>
          <w:p w14:paraId="7289628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default" w:ascii="Times New Roman" w:hAnsi="Times New Roman" w:cs="Times New Roman"/>
                <w:b/>
                <w:bCs/>
                <w:color w:val="auto"/>
                <w:sz w:val="21"/>
                <w:szCs w:val="21"/>
              </w:rPr>
              <w:t>1</w:t>
            </w:r>
            <w:r>
              <w:rPr>
                <w:rFonts w:hint="eastAsia" w:ascii="Times New Roman" w:hAnsi="Times New Roman" w:cs="Times New Roman"/>
                <w:b/>
                <w:bCs/>
                <w:color w:val="auto"/>
                <w:sz w:val="21"/>
                <w:szCs w:val="21"/>
              </w:rPr>
              <w:t>、与关联自然人发生的成交金额超过</w:t>
            </w:r>
            <w:r>
              <w:rPr>
                <w:rFonts w:hint="default" w:ascii="Times New Roman" w:hAnsi="Times New Roman" w:cs="Times New Roman"/>
                <w:b/>
                <w:bCs/>
                <w:color w:val="auto"/>
                <w:sz w:val="21"/>
                <w:szCs w:val="21"/>
              </w:rPr>
              <w:t>30</w:t>
            </w:r>
            <w:r>
              <w:rPr>
                <w:rFonts w:hint="eastAsia" w:ascii="Times New Roman" w:hAnsi="Times New Roman" w:cs="Times New Roman"/>
                <w:b/>
                <w:bCs/>
                <w:color w:val="auto"/>
                <w:sz w:val="21"/>
                <w:szCs w:val="21"/>
              </w:rPr>
              <w:t>万元的交易；</w:t>
            </w:r>
          </w:p>
          <w:p w14:paraId="398F364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default" w:ascii="Times New Roman" w:hAnsi="Times New Roman" w:cs="Times New Roman"/>
                <w:b/>
                <w:bCs/>
                <w:color w:val="auto"/>
                <w:sz w:val="21"/>
                <w:szCs w:val="21"/>
              </w:rPr>
              <w:t>2</w:t>
            </w:r>
            <w:r>
              <w:rPr>
                <w:rFonts w:hint="eastAsia" w:ascii="Times New Roman" w:hAnsi="Times New Roman" w:cs="Times New Roman"/>
                <w:b/>
                <w:bCs/>
                <w:color w:val="auto"/>
                <w:sz w:val="21"/>
                <w:szCs w:val="21"/>
              </w:rPr>
              <w:t>、与关联法人发生的成交金额超过</w:t>
            </w:r>
            <w:r>
              <w:rPr>
                <w:rFonts w:hint="default" w:ascii="Times New Roman" w:hAnsi="Times New Roman" w:cs="Times New Roman"/>
                <w:b/>
                <w:bCs/>
                <w:color w:val="auto"/>
                <w:sz w:val="21"/>
                <w:szCs w:val="21"/>
              </w:rPr>
              <w:t>300</w:t>
            </w:r>
            <w:r>
              <w:rPr>
                <w:rFonts w:hint="eastAsia" w:ascii="Times New Roman" w:hAnsi="Times New Roman" w:cs="Times New Roman"/>
                <w:b/>
                <w:bCs/>
                <w:color w:val="auto"/>
                <w:sz w:val="21"/>
                <w:szCs w:val="21"/>
              </w:rPr>
              <w:t>万元，且占公司最近一期经审计净资产绝对值</w:t>
            </w:r>
            <w:r>
              <w:rPr>
                <w:rFonts w:hint="default" w:ascii="Times New Roman" w:hAnsi="Times New Roman" w:cs="Times New Roman"/>
                <w:b/>
                <w:bCs/>
                <w:color w:val="auto"/>
                <w:sz w:val="21"/>
                <w:szCs w:val="21"/>
              </w:rPr>
              <w:t>0</w:t>
            </w:r>
            <w:r>
              <w:rPr>
                <w:rFonts w:hint="eastAsia" w:ascii="Times New Roman" w:hAnsi="Times New Roman" w:cs="Times New Roman"/>
                <w:b/>
                <w:bCs/>
                <w:color w:val="auto"/>
                <w:sz w:val="21"/>
                <w:szCs w:val="21"/>
              </w:rPr>
              <w:t>.</w:t>
            </w:r>
            <w:r>
              <w:rPr>
                <w:rFonts w:hint="default" w:ascii="Times New Roman" w:hAnsi="Times New Roman" w:cs="Times New Roman"/>
                <w:b/>
                <w:bCs/>
                <w:color w:val="auto"/>
                <w:sz w:val="21"/>
                <w:szCs w:val="21"/>
              </w:rPr>
              <w:t>5</w:t>
            </w:r>
            <w:r>
              <w:rPr>
                <w:rFonts w:hint="eastAsia" w:ascii="Times New Roman" w:hAnsi="Times New Roman" w:cs="Times New Roman"/>
                <w:b/>
                <w:bCs/>
                <w:color w:val="auto"/>
                <w:sz w:val="21"/>
                <w:szCs w:val="21"/>
              </w:rPr>
              <w:t>%以上的交易。</w:t>
            </w:r>
          </w:p>
          <w:p w14:paraId="221ACC4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（五）董事会在法律、法规及《公司章程》和公司对外担保管理制度允许的范围内可以运用公司资产进行资产抵押或对外担保，设置资产抵押或对外担保权限不得超过《公司章程》和公司对外担保管理制度规定。</w:t>
            </w:r>
          </w:p>
        </w:tc>
      </w:tr>
      <w:tr w14:paraId="45042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002468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第一百一十一条  董事会设董事长</w:t>
            </w:r>
            <w:r>
              <w:rPr>
                <w:rFonts w:hint="default" w:ascii="Times New Roman" w:hAnsi="Times New Roman" w:cs="Times New Roman"/>
                <w:b/>
                <w:bCs/>
                <w:strike/>
                <w:dstrike w:val="0"/>
                <w:color w:val="000000"/>
                <w:sz w:val="21"/>
                <w:szCs w:val="21"/>
              </w:rPr>
              <w:t>1</w:t>
            </w:r>
            <w:r>
              <w:rPr>
                <w:rFonts w:hint="eastAsia" w:ascii="Times New Roman" w:hAnsi="Times New Roman" w:cs="Times New Roman"/>
                <w:b/>
                <w:bCs/>
                <w:strike/>
                <w:dstrike w:val="0"/>
                <w:color w:val="000000"/>
                <w:sz w:val="21"/>
                <w:szCs w:val="21"/>
              </w:rPr>
              <w:t>人，副董事长</w:t>
            </w:r>
            <w:r>
              <w:rPr>
                <w:rFonts w:hint="default" w:ascii="Times New Roman" w:hAnsi="Times New Roman" w:cs="Times New Roman"/>
                <w:b/>
                <w:bCs/>
                <w:strike/>
                <w:dstrike w:val="0"/>
                <w:color w:val="000000"/>
                <w:sz w:val="21"/>
                <w:szCs w:val="21"/>
              </w:rPr>
              <w:t>1</w:t>
            </w:r>
            <w:r>
              <w:rPr>
                <w:rFonts w:hint="eastAsia" w:ascii="Times New Roman" w:hAnsi="Times New Roman" w:cs="Times New Roman"/>
                <w:b/>
                <w:bCs/>
                <w:strike/>
                <w:dstrike w:val="0"/>
                <w:color w:val="000000"/>
                <w:sz w:val="21"/>
                <w:szCs w:val="21"/>
              </w:rPr>
              <w:t>人。董事长和副董事长由董事会以全体董事的过半数选举产生。</w:t>
            </w:r>
          </w:p>
          <w:p w14:paraId="646F47F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公司董事会设立战略委员会、审计委员会、提名委员会、薪酬与考核委员会等专门工作机构。专门委员会对董事会负责，依照本章程和董事会授权履行职责，提案应当提交董事会审议决定。</w:t>
            </w:r>
          </w:p>
          <w:p w14:paraId="04E257F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（一）战略委员会由</w:t>
            </w:r>
            <w:r>
              <w:rPr>
                <w:rFonts w:hint="default" w:ascii="Times New Roman" w:hAnsi="Times New Roman" w:cs="Times New Roman"/>
                <w:b/>
                <w:bCs/>
                <w:strike/>
                <w:dstrike w:val="0"/>
                <w:color w:val="000000"/>
                <w:sz w:val="21"/>
                <w:szCs w:val="21"/>
              </w:rPr>
              <w:t>3</w:t>
            </w:r>
            <w:r>
              <w:rPr>
                <w:rFonts w:hint="eastAsia" w:ascii="Times New Roman" w:hAnsi="Times New Roman" w:cs="Times New Roman"/>
                <w:b/>
                <w:bCs/>
                <w:strike/>
                <w:dstrike w:val="0"/>
                <w:color w:val="000000"/>
                <w:sz w:val="21"/>
                <w:szCs w:val="21"/>
              </w:rPr>
              <w:t>-</w:t>
            </w:r>
            <w:r>
              <w:rPr>
                <w:rFonts w:hint="default" w:ascii="Times New Roman" w:hAnsi="Times New Roman" w:cs="Times New Roman"/>
                <w:b/>
                <w:bCs/>
                <w:strike/>
                <w:dstrike w:val="0"/>
                <w:color w:val="000000"/>
                <w:sz w:val="21"/>
                <w:szCs w:val="21"/>
              </w:rPr>
              <w:t>5</w:t>
            </w:r>
            <w:r>
              <w:rPr>
                <w:rFonts w:hint="eastAsia" w:ascii="Times New Roman" w:hAnsi="Times New Roman" w:cs="Times New Roman"/>
                <w:b/>
                <w:bCs/>
                <w:strike/>
                <w:dstrike w:val="0"/>
                <w:color w:val="000000"/>
                <w:sz w:val="21"/>
                <w:szCs w:val="21"/>
              </w:rPr>
              <w:t>名董事组成，其中至少有一名独立董事，由公司董事长担任召集人。战略委员会主要负责对公司长期发展战略和重大投资决策进行研究并提出建议。</w:t>
            </w:r>
          </w:p>
          <w:p w14:paraId="3FF95E7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（二）审计委员会由</w:t>
            </w:r>
            <w:r>
              <w:rPr>
                <w:rFonts w:hint="default" w:ascii="Times New Roman" w:hAnsi="Times New Roman" w:cs="Times New Roman"/>
                <w:b/>
                <w:bCs/>
                <w:strike/>
                <w:dstrike w:val="0"/>
                <w:color w:val="000000"/>
                <w:sz w:val="21"/>
                <w:szCs w:val="21"/>
              </w:rPr>
              <w:t>3</w:t>
            </w:r>
            <w:r>
              <w:rPr>
                <w:rFonts w:hint="eastAsia" w:ascii="Times New Roman" w:hAnsi="Times New Roman" w:cs="Times New Roman"/>
                <w:b/>
                <w:bCs/>
                <w:strike/>
                <w:dstrike w:val="0"/>
                <w:color w:val="000000"/>
                <w:sz w:val="21"/>
                <w:szCs w:val="21"/>
              </w:rPr>
              <w:t>-</w:t>
            </w:r>
            <w:r>
              <w:rPr>
                <w:rFonts w:hint="default" w:ascii="Times New Roman" w:hAnsi="Times New Roman" w:cs="Times New Roman"/>
                <w:b/>
                <w:bCs/>
                <w:strike/>
                <w:dstrike w:val="0"/>
                <w:color w:val="000000"/>
                <w:sz w:val="21"/>
                <w:szCs w:val="21"/>
              </w:rPr>
              <w:t>5</w:t>
            </w:r>
            <w:r>
              <w:rPr>
                <w:rFonts w:hint="eastAsia" w:ascii="Times New Roman" w:hAnsi="Times New Roman" w:cs="Times New Roman"/>
                <w:b/>
                <w:bCs/>
                <w:strike/>
                <w:dstrike w:val="0"/>
                <w:color w:val="000000"/>
                <w:sz w:val="21"/>
                <w:szCs w:val="21"/>
              </w:rPr>
              <w:t>名董事组成，审计委员会成员应当为不在公司担任高级管理人员的董事，其中独立董事应当过半数，并由独立董事中会计专业人士担任召集人。审计委员会主要负责审核公司财务信息及其披露、监督及评估内外部审计工作和内部控制，并就有关事项向董事会提出建议。</w:t>
            </w:r>
          </w:p>
          <w:p w14:paraId="6C971F2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（三）薪酬与考核委员会由</w:t>
            </w:r>
            <w:r>
              <w:rPr>
                <w:rFonts w:hint="default" w:ascii="Times New Roman" w:hAnsi="Times New Roman" w:cs="Times New Roman"/>
                <w:b/>
                <w:bCs/>
                <w:strike/>
                <w:dstrike w:val="0"/>
                <w:color w:val="000000"/>
                <w:sz w:val="21"/>
                <w:szCs w:val="21"/>
              </w:rPr>
              <w:t>3</w:t>
            </w:r>
            <w:r>
              <w:rPr>
                <w:rFonts w:hint="eastAsia" w:ascii="Times New Roman" w:hAnsi="Times New Roman" w:cs="Times New Roman"/>
                <w:b/>
                <w:bCs/>
                <w:strike/>
                <w:dstrike w:val="0"/>
                <w:color w:val="000000"/>
                <w:sz w:val="21"/>
                <w:szCs w:val="21"/>
              </w:rPr>
              <w:t>-</w:t>
            </w:r>
            <w:r>
              <w:rPr>
                <w:rFonts w:hint="default" w:ascii="Times New Roman" w:hAnsi="Times New Roman" w:cs="Times New Roman"/>
                <w:b/>
                <w:bCs/>
                <w:strike/>
                <w:dstrike w:val="0"/>
                <w:color w:val="000000"/>
                <w:sz w:val="21"/>
                <w:szCs w:val="21"/>
              </w:rPr>
              <w:t>5</w:t>
            </w:r>
            <w:r>
              <w:rPr>
                <w:rFonts w:hint="eastAsia" w:ascii="Times New Roman" w:hAnsi="Times New Roman" w:cs="Times New Roman"/>
                <w:b/>
                <w:bCs/>
                <w:strike/>
                <w:dstrike w:val="0"/>
                <w:color w:val="000000"/>
                <w:sz w:val="21"/>
                <w:szCs w:val="21"/>
              </w:rPr>
              <w:t>名董事组成，其中独立董事应当过半数并担任召集人。薪酬与考核委员会主要负责制定公司董事、高级管理人员的考核标准并进行考核，制定、审查董事、高级管理人员的薪酬政策与方案，并就有关事项向董事会提出建议。</w:t>
            </w:r>
          </w:p>
          <w:p w14:paraId="77F6D0D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（四）提名委员会由</w:t>
            </w:r>
            <w:r>
              <w:rPr>
                <w:rFonts w:hint="default" w:ascii="Times New Roman" w:hAnsi="Times New Roman" w:cs="Times New Roman"/>
                <w:b/>
                <w:bCs/>
                <w:strike/>
                <w:dstrike w:val="0"/>
                <w:color w:val="000000"/>
                <w:sz w:val="21"/>
                <w:szCs w:val="21"/>
              </w:rPr>
              <w:t>3</w:t>
            </w:r>
            <w:r>
              <w:rPr>
                <w:rFonts w:hint="eastAsia" w:ascii="Times New Roman" w:hAnsi="Times New Roman" w:cs="Times New Roman"/>
                <w:b/>
                <w:bCs/>
                <w:strike/>
                <w:dstrike w:val="0"/>
                <w:color w:val="000000"/>
                <w:sz w:val="21"/>
                <w:szCs w:val="21"/>
              </w:rPr>
              <w:t>-</w:t>
            </w:r>
            <w:r>
              <w:rPr>
                <w:rFonts w:hint="default" w:ascii="Times New Roman" w:hAnsi="Times New Roman" w:cs="Times New Roman"/>
                <w:b/>
                <w:bCs/>
                <w:strike/>
                <w:dstrike w:val="0"/>
                <w:color w:val="000000"/>
                <w:sz w:val="21"/>
                <w:szCs w:val="21"/>
              </w:rPr>
              <w:t>5</w:t>
            </w:r>
            <w:r>
              <w:rPr>
                <w:rFonts w:hint="eastAsia" w:ascii="Times New Roman" w:hAnsi="Times New Roman" w:cs="Times New Roman"/>
                <w:b/>
                <w:bCs/>
                <w:strike/>
                <w:dstrike w:val="0"/>
                <w:color w:val="000000"/>
                <w:sz w:val="21"/>
                <w:szCs w:val="21"/>
              </w:rPr>
              <w:t>名董事组成，其中独立董事应当过半数并担任召集人。提名委员会主要负责拟定董事、高级管理人员的选择标准和程序，对董事、高级管理人员人选及其任职资格进行遴选、审核，并就有关事项向董事会提出建议。</w:t>
            </w:r>
          </w:p>
          <w:p w14:paraId="05FF0DD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董事会负责制定专门委员会工作规程，规范专门委员会的运作。董事会不得全权授予专门委员会行使其法定职权。</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1DE78F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删除</w:t>
            </w:r>
          </w:p>
        </w:tc>
      </w:tr>
      <w:tr w14:paraId="34C19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476E1B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 xml:space="preserve">第一百一十四条  </w:t>
            </w:r>
            <w:r>
              <w:rPr>
                <w:rFonts w:hint="eastAsia" w:ascii="Times New Roman" w:hAnsi="Times New Roman" w:cs="Times New Roman"/>
                <w:b/>
                <w:bCs/>
                <w:strike/>
                <w:dstrike w:val="0"/>
                <w:color w:val="000000"/>
                <w:sz w:val="21"/>
                <w:szCs w:val="21"/>
              </w:rPr>
              <w:t>公司应建立董事会定期会议制度，制定定期会议年度安排，董事会定期会议原则上以现场会议方式召开。</w:t>
            </w:r>
            <w:r>
              <w:rPr>
                <w:rFonts w:hint="eastAsia" w:ascii="Times New Roman" w:hAnsi="Times New Roman" w:cs="Times New Roman"/>
                <w:b w:val="0"/>
                <w:bCs w:val="0"/>
                <w:color w:val="000000"/>
                <w:sz w:val="21"/>
                <w:szCs w:val="21"/>
              </w:rPr>
              <w:t>董事会每年至少召开两次会议，由董事长召集，于会议召开</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日以前书面通知全体董事</w:t>
            </w:r>
            <w:r>
              <w:rPr>
                <w:rFonts w:hint="eastAsia" w:ascii="Times New Roman" w:hAnsi="Times New Roman" w:cs="Times New Roman"/>
                <w:b/>
                <w:bCs/>
                <w:strike/>
                <w:dstrike w:val="0"/>
                <w:color w:val="000000"/>
                <w:sz w:val="21"/>
                <w:szCs w:val="21"/>
              </w:rPr>
              <w:t>和监事</w:t>
            </w:r>
            <w:r>
              <w:rPr>
                <w:rFonts w:hint="eastAsia" w:ascii="Times New Roman" w:hAnsi="Times New Roman" w:cs="Times New Roman"/>
                <w:b w:val="0"/>
                <w:bCs w:val="0"/>
                <w:color w:val="000000"/>
                <w:sz w:val="21"/>
                <w:szCs w:val="21"/>
              </w:rPr>
              <w:t>。</w:t>
            </w:r>
          </w:p>
          <w:p w14:paraId="770181E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公司董事会在确定会议时间前，还应积极和董事进行沟通，确保大部分董事能亲自出席会议。</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C58671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第一百一十六条  董事会每年至少召开两次会议，由董事长召集，于会议召开</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日以前书面通知全体董事。</w:t>
            </w:r>
          </w:p>
        </w:tc>
      </w:tr>
      <w:tr w14:paraId="48DC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E821BD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第一百一十五条  代表</w:t>
            </w:r>
            <w:r>
              <w:rPr>
                <w:rFonts w:hint="default" w:ascii="Times New Roman" w:hAnsi="Times New Roman" w:cs="Times New Roman"/>
                <w:b w:val="0"/>
                <w:bCs w:val="0"/>
                <w:color w:val="000000"/>
                <w:sz w:val="21"/>
                <w:szCs w:val="21"/>
              </w:rPr>
              <w:t>1</w:t>
            </w:r>
            <w:r>
              <w:rPr>
                <w:rFonts w:hint="eastAsia" w:ascii="Times New Roman" w:hAnsi="Times New Roman" w:cs="Times New Roman"/>
                <w:b w:val="0"/>
                <w:bCs w:val="0"/>
                <w:color w:val="000000"/>
                <w:sz w:val="21"/>
                <w:szCs w:val="21"/>
              </w:rPr>
              <w:t>/</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以上表决权的股东、</w:t>
            </w:r>
            <w:r>
              <w:rPr>
                <w:rFonts w:hint="default" w:ascii="Times New Roman" w:hAnsi="Times New Roman" w:cs="Times New Roman"/>
                <w:b w:val="0"/>
                <w:bCs w:val="0"/>
                <w:color w:val="000000"/>
                <w:sz w:val="21"/>
                <w:szCs w:val="21"/>
              </w:rPr>
              <w:t>1</w:t>
            </w:r>
            <w:r>
              <w:rPr>
                <w:rFonts w:hint="eastAsia" w:ascii="Times New Roman" w:hAnsi="Times New Roman" w:cs="Times New Roman"/>
                <w:b w:val="0"/>
                <w:bCs w:val="0"/>
                <w:color w:val="000000"/>
                <w:sz w:val="21"/>
                <w:szCs w:val="21"/>
              </w:rPr>
              <w:t>/</w:t>
            </w:r>
            <w:r>
              <w:rPr>
                <w:rFonts w:hint="default" w:ascii="Times New Roman" w:hAnsi="Times New Roman" w:cs="Times New Roman"/>
                <w:b w:val="0"/>
                <w:bCs w:val="0"/>
                <w:color w:val="000000"/>
                <w:sz w:val="21"/>
                <w:szCs w:val="21"/>
              </w:rPr>
              <w:t>3</w:t>
            </w:r>
            <w:r>
              <w:rPr>
                <w:rFonts w:hint="eastAsia" w:ascii="Times New Roman" w:hAnsi="Times New Roman" w:cs="Times New Roman"/>
                <w:b w:val="0"/>
                <w:bCs w:val="0"/>
                <w:color w:val="000000"/>
                <w:sz w:val="21"/>
                <w:szCs w:val="21"/>
              </w:rPr>
              <w:t>以上董事</w:t>
            </w:r>
            <w:r>
              <w:rPr>
                <w:rFonts w:hint="eastAsia" w:ascii="Times New Roman" w:hAnsi="Times New Roman" w:cs="Times New Roman"/>
                <w:b/>
                <w:bCs/>
                <w:strike/>
                <w:dstrike w:val="0"/>
                <w:color w:val="000000"/>
                <w:sz w:val="21"/>
                <w:szCs w:val="21"/>
              </w:rPr>
              <w:t>、独立董事</w:t>
            </w:r>
            <w:r>
              <w:rPr>
                <w:rFonts w:hint="eastAsia" w:ascii="Times New Roman" w:hAnsi="Times New Roman" w:cs="Times New Roman"/>
                <w:b w:val="0"/>
                <w:bCs w:val="0"/>
                <w:color w:val="000000"/>
                <w:sz w:val="21"/>
                <w:szCs w:val="21"/>
              </w:rPr>
              <w:t>或者</w:t>
            </w:r>
            <w:r>
              <w:rPr>
                <w:rFonts w:hint="eastAsia" w:ascii="Times New Roman" w:hAnsi="Times New Roman" w:cs="Times New Roman"/>
                <w:b/>
                <w:bCs/>
                <w:strike/>
                <w:dstrike w:val="0"/>
                <w:color w:val="000000"/>
                <w:sz w:val="21"/>
                <w:szCs w:val="21"/>
              </w:rPr>
              <w:t>监事会</w:t>
            </w:r>
            <w:r>
              <w:rPr>
                <w:rFonts w:hint="eastAsia" w:ascii="Times New Roman" w:hAnsi="Times New Roman" w:cs="Times New Roman"/>
                <w:b w:val="0"/>
                <w:bCs w:val="0"/>
                <w:color w:val="000000"/>
                <w:sz w:val="21"/>
                <w:szCs w:val="21"/>
              </w:rPr>
              <w:t>，可以提议召开董事会临时会议。董事长应当自接到提议后</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日内，召集和主持董事会会议。</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BDBBE5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第一百一十七条  代表</w:t>
            </w:r>
            <w:r>
              <w:rPr>
                <w:rFonts w:hint="default" w:ascii="Times New Roman" w:hAnsi="Times New Roman" w:cs="Times New Roman"/>
                <w:b w:val="0"/>
                <w:bCs w:val="0"/>
                <w:color w:val="000000"/>
                <w:sz w:val="21"/>
                <w:szCs w:val="21"/>
              </w:rPr>
              <w:t>1</w:t>
            </w:r>
            <w:r>
              <w:rPr>
                <w:rFonts w:hint="eastAsia" w:ascii="Times New Roman" w:hAnsi="Times New Roman" w:cs="Times New Roman"/>
                <w:b w:val="0"/>
                <w:bCs w:val="0"/>
                <w:color w:val="000000"/>
                <w:sz w:val="21"/>
                <w:szCs w:val="21"/>
              </w:rPr>
              <w:t>/</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以上表决权的股东、</w:t>
            </w:r>
            <w:r>
              <w:rPr>
                <w:rFonts w:hint="default" w:ascii="Times New Roman" w:hAnsi="Times New Roman" w:cs="Times New Roman"/>
                <w:b w:val="0"/>
                <w:bCs w:val="0"/>
                <w:color w:val="000000"/>
                <w:sz w:val="21"/>
                <w:szCs w:val="21"/>
              </w:rPr>
              <w:t>1</w:t>
            </w:r>
            <w:r>
              <w:rPr>
                <w:rFonts w:hint="eastAsia" w:ascii="Times New Roman" w:hAnsi="Times New Roman" w:cs="Times New Roman"/>
                <w:b w:val="0"/>
                <w:bCs w:val="0"/>
                <w:color w:val="000000"/>
                <w:sz w:val="21"/>
                <w:szCs w:val="21"/>
              </w:rPr>
              <w:t>/</w:t>
            </w:r>
            <w:r>
              <w:rPr>
                <w:rFonts w:hint="default" w:ascii="Times New Roman" w:hAnsi="Times New Roman" w:cs="Times New Roman"/>
                <w:b w:val="0"/>
                <w:bCs w:val="0"/>
                <w:color w:val="000000"/>
                <w:sz w:val="21"/>
                <w:szCs w:val="21"/>
              </w:rPr>
              <w:t>3</w:t>
            </w:r>
            <w:r>
              <w:rPr>
                <w:rFonts w:hint="eastAsia" w:ascii="Times New Roman" w:hAnsi="Times New Roman" w:cs="Times New Roman"/>
                <w:b w:val="0"/>
                <w:bCs w:val="0"/>
                <w:color w:val="000000"/>
                <w:sz w:val="21"/>
                <w:szCs w:val="21"/>
              </w:rPr>
              <w:t>以上董事或者</w:t>
            </w:r>
            <w:r>
              <w:rPr>
                <w:rFonts w:hint="eastAsia" w:ascii="Times New Roman" w:hAnsi="Times New Roman" w:cs="Times New Roman"/>
                <w:b/>
                <w:bCs/>
                <w:color w:val="auto"/>
                <w:sz w:val="21"/>
                <w:szCs w:val="21"/>
              </w:rPr>
              <w:t>审计委员会</w:t>
            </w:r>
            <w:r>
              <w:rPr>
                <w:rFonts w:hint="eastAsia" w:ascii="Times New Roman" w:hAnsi="Times New Roman" w:cs="Times New Roman"/>
                <w:b w:val="0"/>
                <w:bCs w:val="0"/>
                <w:color w:val="000000"/>
                <w:sz w:val="21"/>
                <w:szCs w:val="21"/>
              </w:rPr>
              <w:t>，可以提议召开董事会临时会议。董事长应当自接到提议后</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日内，召集和主持董事会会议。</w:t>
            </w:r>
          </w:p>
        </w:tc>
      </w:tr>
      <w:tr w14:paraId="2F2B6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C7A602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第一百一十八条  董事应当认真阅读有关会议材料，在充分了解情况地基础上独立、审慎地发表意见。</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AEA171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删除</w:t>
            </w:r>
          </w:p>
        </w:tc>
      </w:tr>
      <w:tr w14:paraId="3B658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6D16C30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AC4DA8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第一百二十条  董事会会议应有过半数的董事出席方可举行。董事会作出决议，必须经全体董事的过半数通过。</w:t>
            </w:r>
          </w:p>
          <w:p w14:paraId="44BA0C8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董事会决议的表决，实行一人一票。</w:t>
            </w:r>
          </w:p>
        </w:tc>
      </w:tr>
      <w:tr w14:paraId="59F56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DA5091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第一百一十九条  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董事人数不足</w:t>
            </w:r>
            <w:r>
              <w:rPr>
                <w:rFonts w:hint="default" w:ascii="Times New Roman" w:hAnsi="Times New Roman" w:cs="Times New Roman"/>
                <w:b w:val="0"/>
                <w:bCs w:val="0"/>
                <w:color w:val="000000"/>
                <w:sz w:val="21"/>
                <w:szCs w:val="21"/>
              </w:rPr>
              <w:t>3</w:t>
            </w:r>
            <w:r>
              <w:rPr>
                <w:rFonts w:hint="eastAsia" w:ascii="Times New Roman" w:hAnsi="Times New Roman" w:cs="Times New Roman"/>
                <w:b w:val="0"/>
                <w:bCs w:val="0"/>
                <w:color w:val="000000"/>
                <w:sz w:val="21"/>
                <w:szCs w:val="21"/>
              </w:rPr>
              <w:t>人的，应将该事项提交</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审议。</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E5C904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第一百二十一条  董事与董事会会议决议事项所涉及的企业</w:t>
            </w:r>
            <w:r>
              <w:rPr>
                <w:rFonts w:hint="eastAsia" w:ascii="Times New Roman" w:hAnsi="Times New Roman" w:cs="Times New Roman"/>
                <w:b/>
                <w:bCs/>
                <w:color w:val="auto"/>
                <w:sz w:val="21"/>
                <w:szCs w:val="21"/>
              </w:rPr>
              <w:t>或者个人</w:t>
            </w:r>
            <w:r>
              <w:rPr>
                <w:rFonts w:hint="eastAsia" w:ascii="Times New Roman" w:hAnsi="Times New Roman" w:cs="Times New Roman"/>
                <w:b w:val="0"/>
                <w:bCs w:val="0"/>
                <w:color w:val="000000"/>
                <w:sz w:val="21"/>
                <w:szCs w:val="21"/>
              </w:rPr>
              <w:t>有关联关系的，</w:t>
            </w:r>
            <w:r>
              <w:rPr>
                <w:rFonts w:hint="eastAsia" w:ascii="Times New Roman" w:hAnsi="Times New Roman" w:cs="Times New Roman"/>
                <w:b/>
                <w:bCs/>
                <w:color w:val="auto"/>
                <w:sz w:val="21"/>
                <w:szCs w:val="21"/>
              </w:rPr>
              <w:t>该董事应当及时向董事会书面报告。有关联关系的董事</w:t>
            </w:r>
            <w:r>
              <w:rPr>
                <w:rFonts w:hint="eastAsia" w:ascii="Times New Roman" w:hAnsi="Times New Roman" w:cs="Times New Roman"/>
                <w:b w:val="0"/>
                <w:bCs w:val="0"/>
                <w:color w:val="000000"/>
                <w:sz w:val="21"/>
                <w:szCs w:val="21"/>
              </w:rPr>
              <w:t>不得对该项决议行使表决权，也不得代理其他董事行使表决权。该董事会会议由过半数的无关联关系董事出席即可举行，董事会会议所作决议须经无关联关系董事过半数通过。出席董事会的无关联董事人数不足</w:t>
            </w:r>
            <w:r>
              <w:rPr>
                <w:rFonts w:hint="default" w:ascii="Times New Roman" w:hAnsi="Times New Roman" w:cs="Times New Roman"/>
                <w:b w:val="0"/>
                <w:bCs w:val="0"/>
                <w:color w:val="000000"/>
                <w:sz w:val="21"/>
                <w:szCs w:val="21"/>
              </w:rPr>
              <w:t>3</w:t>
            </w:r>
            <w:r>
              <w:rPr>
                <w:rFonts w:hint="eastAsia" w:ascii="Times New Roman" w:hAnsi="Times New Roman" w:cs="Times New Roman"/>
                <w:b w:val="0"/>
                <w:bCs w:val="0"/>
                <w:color w:val="000000"/>
                <w:sz w:val="21"/>
                <w:szCs w:val="21"/>
              </w:rPr>
              <w:t>人的，应将该事项提交</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审议。</w:t>
            </w:r>
          </w:p>
        </w:tc>
      </w:tr>
      <w:tr w14:paraId="46F96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C1F9CE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sz w:val="21"/>
                <w:szCs w:val="21"/>
              </w:rPr>
            </w:pPr>
            <w:r>
              <w:rPr>
                <w:rFonts w:hint="eastAsia"/>
                <w:sz w:val="21"/>
                <w:szCs w:val="21"/>
              </w:rPr>
              <w:t xml:space="preserve">第一百二十条 </w:t>
            </w:r>
            <w:r>
              <w:rPr>
                <w:rFonts w:hint="eastAsia"/>
                <w:b/>
                <w:bCs/>
                <w:strike/>
                <w:dstrike w:val="0"/>
                <w:sz w:val="21"/>
                <w:szCs w:val="21"/>
              </w:rPr>
              <w:t xml:space="preserve"> 董事会会议应有过半数的董事出席方可举行。董事会作出决议，必须经全体董事的过半数通过。董事会决议的表决，实行一人一票。</w:t>
            </w:r>
          </w:p>
          <w:p w14:paraId="5B4E0B6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sz w:val="21"/>
                <w:szCs w:val="21"/>
              </w:rPr>
            </w:pPr>
            <w:r>
              <w:rPr>
                <w:rFonts w:hint="eastAsia"/>
                <w:sz w:val="21"/>
                <w:szCs w:val="21"/>
              </w:rPr>
              <w:t>董事会决议表决方式为：举手表决或书面表决。</w:t>
            </w:r>
          </w:p>
          <w:p w14:paraId="37456B7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sz w:val="21"/>
                <w:szCs w:val="21"/>
              </w:rPr>
              <w:t>董事会临时会议在保障董事充分表达意见的前提下，可以用传真等通讯方式进行并作出决议，并由参会董事签字。</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2F2FBD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第一百二十</w:t>
            </w:r>
            <w:r>
              <w:rPr>
                <w:rFonts w:hint="eastAsia" w:cs="Times New Roman"/>
                <w:b w:val="0"/>
                <w:bCs w:val="0"/>
                <w:color w:val="000000"/>
                <w:sz w:val="21"/>
                <w:szCs w:val="21"/>
                <w:lang w:val="en-US" w:eastAsia="zh-CN"/>
              </w:rPr>
              <w:t>二</w:t>
            </w:r>
            <w:r>
              <w:rPr>
                <w:rFonts w:hint="eastAsia" w:ascii="Times New Roman" w:hAnsi="Times New Roman" w:cs="Times New Roman"/>
                <w:b w:val="0"/>
                <w:bCs w:val="0"/>
                <w:color w:val="000000"/>
                <w:sz w:val="21"/>
                <w:szCs w:val="21"/>
              </w:rPr>
              <w:t>条  董事会决议表决方式为：举手表决或</w:t>
            </w:r>
            <w:r>
              <w:rPr>
                <w:rFonts w:hint="eastAsia" w:ascii="Times New Roman" w:hAnsi="Times New Roman" w:cs="Times New Roman"/>
                <w:b/>
                <w:bCs/>
                <w:color w:val="auto"/>
                <w:sz w:val="21"/>
                <w:szCs w:val="21"/>
              </w:rPr>
              <w:t>记名投票</w:t>
            </w:r>
            <w:r>
              <w:rPr>
                <w:rFonts w:hint="eastAsia" w:ascii="Times New Roman" w:hAnsi="Times New Roman" w:cs="Times New Roman"/>
                <w:b w:val="0"/>
                <w:bCs w:val="0"/>
                <w:color w:val="000000"/>
                <w:sz w:val="21"/>
                <w:szCs w:val="21"/>
              </w:rPr>
              <w:t>表决。</w:t>
            </w:r>
          </w:p>
          <w:p w14:paraId="2D6304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董事会及其专门委员会会议以现场召开为原则。</w:t>
            </w:r>
            <w:r>
              <w:rPr>
                <w:rFonts w:hint="eastAsia" w:ascii="Times New Roman" w:hAnsi="Times New Roman" w:cs="Times New Roman"/>
                <w:b w:val="0"/>
                <w:bCs w:val="0"/>
                <w:color w:val="000000"/>
                <w:sz w:val="21"/>
                <w:szCs w:val="21"/>
              </w:rPr>
              <w:t>董事会临时会议在保障董事充分表达意见的前提下，可以用</w:t>
            </w:r>
            <w:r>
              <w:rPr>
                <w:rFonts w:hint="eastAsia" w:ascii="Times New Roman" w:hAnsi="Times New Roman" w:cs="Times New Roman"/>
                <w:b/>
                <w:bCs/>
                <w:color w:val="auto"/>
                <w:sz w:val="21"/>
                <w:szCs w:val="21"/>
              </w:rPr>
              <w:t>视频、电话或其他方式召开</w:t>
            </w:r>
            <w:r>
              <w:rPr>
                <w:rFonts w:hint="eastAsia" w:ascii="Times New Roman" w:hAnsi="Times New Roman" w:cs="Times New Roman"/>
                <w:b w:val="0"/>
                <w:bCs w:val="0"/>
                <w:color w:val="000000"/>
                <w:sz w:val="21"/>
                <w:szCs w:val="21"/>
              </w:rPr>
              <w:t>，并由参会董事签字。</w:t>
            </w:r>
          </w:p>
        </w:tc>
      </w:tr>
      <w:tr w14:paraId="242FC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702" w:type="dxa"/>
            <w:tcBorders>
              <w:top w:val="single" w:color="000000" w:sz="4" w:space="0"/>
              <w:left w:val="single" w:color="000000" w:sz="12" w:space="0"/>
              <w:bottom w:val="single" w:color="000000" w:sz="4" w:space="0"/>
              <w:right w:val="single" w:color="000000" w:sz="4" w:space="0"/>
            </w:tcBorders>
            <w:shd w:val="clear" w:color="auto" w:fill="FFFFFF"/>
          </w:tcPr>
          <w:p w14:paraId="7678D31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7922" w:type="dxa"/>
            <w:gridSpan w:val="2"/>
            <w:tcBorders>
              <w:top w:val="single" w:color="000000" w:sz="4" w:space="0"/>
              <w:left w:val="single" w:color="000000" w:sz="4" w:space="0"/>
              <w:bottom w:val="single" w:color="000000" w:sz="4" w:space="0"/>
              <w:right w:val="single" w:color="000000" w:sz="12" w:space="0"/>
            </w:tcBorders>
            <w:shd w:val="clear" w:color="auto" w:fill="FFFFFF"/>
          </w:tcPr>
          <w:p w14:paraId="69C2055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center"/>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第三节 独立董事</w:t>
            </w:r>
          </w:p>
          <w:p w14:paraId="333361A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第一百二十六条  独立董事应按照法律、行政法规、中国证监会、证券交易所和本章程的规定，认真履行职责，在董事会中发挥参与决策、监督制衡、专业咨询作用，维护公司整体利益，保护中小股东合法权益。</w:t>
            </w:r>
          </w:p>
          <w:p w14:paraId="5D7F044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第一百二十七条  独立董事必须保持独立性。下列人员不得担任独立董事：</w:t>
            </w:r>
          </w:p>
          <w:p w14:paraId="6CB85A5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（一）在公司或者其附属企业任职的人员及其配偶、父母、子女、主要社会关系；</w:t>
            </w:r>
          </w:p>
          <w:p w14:paraId="4FEFC7E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（二）直接或者间接持有公司已发行股份百分之一以上或者是公司前十名股东中的自然人股东及其配偶、父母、子女；</w:t>
            </w:r>
          </w:p>
          <w:p w14:paraId="2142E6F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（三）在直接或者间接持有公司已发行股份百分之五以上的股东或者在公司前五名股东任职的人员及其配偶、父母、子女；</w:t>
            </w:r>
          </w:p>
          <w:p w14:paraId="4F1FB36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（四）在公司控股股东、实际控制人的附属企业任职的人员及其配偶、父母、子女；</w:t>
            </w:r>
          </w:p>
          <w:p w14:paraId="26DAE09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（五）与公司及其控股股东、实际控制人或者其各自的附属企业有重大业务往来的人员，或者在有重大业务往来的单位及其控股股东、实际控制人任职的人员；</w:t>
            </w:r>
          </w:p>
          <w:p w14:paraId="2EFD470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六）为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14:paraId="24C9664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（七）最近十二个月内曾经具有第一项至第六项所列举情形的人员；</w:t>
            </w:r>
          </w:p>
          <w:p w14:paraId="613EC73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（八）法律、行政法规、中国证监会规定、证券交易所业务规则和本章程规定的不具备独立性的其他人员。</w:t>
            </w:r>
          </w:p>
          <w:p w14:paraId="1DECE6D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前款第四项至第六项中的公司控股股东、实际控制人的附属企业，不包括与公司受同一国有资产管理机构控制且按照相关规定未与公司构成关联关系的企业。</w:t>
            </w:r>
          </w:p>
          <w:p w14:paraId="05FA0CA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独立董事应当每年对独立性情况进行自查，并将自查情况提交董事会。董事会应当每年对在任独立董事独立性情况进行评估并出具专项意见，与年度报告同时披露。</w:t>
            </w:r>
          </w:p>
          <w:p w14:paraId="237F0E5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第一百二十八条  担任公司独立董事应当符合下列条件：</w:t>
            </w:r>
          </w:p>
          <w:p w14:paraId="5343437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（一）根据法律、行政法规和其他有关规定，具备担任上市公司董事的资格；</w:t>
            </w:r>
          </w:p>
          <w:p w14:paraId="028E9CB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（二）符合本章程规定的独立性要求；</w:t>
            </w:r>
          </w:p>
          <w:p w14:paraId="521F723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（三）具备上市公司运作的基本知识，熟悉相关法律法规和规则；</w:t>
            </w:r>
          </w:p>
          <w:p w14:paraId="2BD5A00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（四）具有五年以上履行独立董事职责所必需的法律、会计或者经济等工作经验；</w:t>
            </w:r>
          </w:p>
          <w:p w14:paraId="0FAADF7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（五）具有良好的个人品德，不存在重大失信等不良记录；</w:t>
            </w:r>
          </w:p>
          <w:p w14:paraId="52F25E3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（六）法律、行政法规、中国证监会规定、证券交易所业务规则和本章程规定的其他条件</w:t>
            </w:r>
          </w:p>
          <w:p w14:paraId="0EE5286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第一百二十九条  独立董事作为董事会的成员，对公司及全体股东负有忠实义务、勤勉义务，审慎履行下列职责：</w:t>
            </w:r>
          </w:p>
          <w:p w14:paraId="53E6BD1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（一）参与董事会决策并对所议事项发表明确意见；</w:t>
            </w:r>
          </w:p>
          <w:p w14:paraId="50D7CE1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（二）对公司与控股股东、实际控制人、董事、高级管理人员之间的潜在重大利益冲突事项进行监督，保护中小股东合法权益；</w:t>
            </w:r>
          </w:p>
          <w:p w14:paraId="5BEA53B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（三）对公司经营发展提供专业、客观的建议，促进提升董事会决策水平；</w:t>
            </w:r>
          </w:p>
          <w:p w14:paraId="165BBB6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（四）法律、行政法规、中国证监会规定和本章程规定的其他职责。</w:t>
            </w:r>
          </w:p>
          <w:p w14:paraId="37E834A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第一百三十条  独立董事行使下列特别职权：</w:t>
            </w:r>
          </w:p>
          <w:p w14:paraId="5DED4ED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（一）独立聘请中介机构，对公司具体事项进行审计、咨询或者核查</w:t>
            </w:r>
          </w:p>
          <w:p w14:paraId="52A2A22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（二）向董事会提议召开临时股东会；</w:t>
            </w:r>
          </w:p>
          <w:p w14:paraId="634E428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（三）提议召开董事会会议；</w:t>
            </w:r>
          </w:p>
          <w:p w14:paraId="05F2432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（四）依法公开向股东征集股东权利；</w:t>
            </w:r>
          </w:p>
          <w:p w14:paraId="6E520E5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（五）对可能损害公司或者中小股东权益的事项发表独立意见；</w:t>
            </w:r>
          </w:p>
          <w:p w14:paraId="75BEA2C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（六）法律、行政法规、中国证监会规定和本章程规定的其他职权。</w:t>
            </w:r>
          </w:p>
          <w:p w14:paraId="19E282D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独立董事行使前款第一项至第三项所列职权的，应当经全体独立董事过半数同意。</w:t>
            </w:r>
          </w:p>
          <w:p w14:paraId="1C8E674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独立董事行使第一款所列职权的，公司将及时披露。上述职权不能正常行使的，公司将披露具体情况和理由。</w:t>
            </w:r>
          </w:p>
          <w:p w14:paraId="208BEE6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第一百三十一条  下列事项应当经公司全体独立董事过半数同意后，提交董事会审议：</w:t>
            </w:r>
          </w:p>
          <w:p w14:paraId="6D76CA2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（一）应当披露的关联交易；</w:t>
            </w:r>
          </w:p>
          <w:p w14:paraId="6ADD011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（二）公司及相关方变更或者豁免承诺的方案；</w:t>
            </w:r>
          </w:p>
          <w:p w14:paraId="0BF8824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（三）被收购上市公司董事会针对收购所作出的决策及采取的措施；</w:t>
            </w:r>
          </w:p>
          <w:p w14:paraId="405061A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（四）法律、行政法规、中国证监会规定和本章程规定的其他事项。</w:t>
            </w:r>
          </w:p>
          <w:p w14:paraId="1EB142E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第一百三十二条  公司建立全部由独立董事参加的专门会议机制。董事会审议关联交易等事项的，由独立董事专门会议事先认可。</w:t>
            </w:r>
          </w:p>
          <w:p w14:paraId="0AF6837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公司定期或者不定期召开独立董事专门会议。本章程第一百三十条第一款第（一）项至第（三）项、第一百三十一条所列事项，应当经独立董事专门会议审议。</w:t>
            </w:r>
          </w:p>
          <w:p w14:paraId="17C709A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独立董事专门会议可以根据需要研究讨论公司其他事项。独立董事专门会议由过半数独立董事共同推举一名独立董事召集和主持；召集人不履职或者不能履职时，两名及以上独立董事可以自行召集并推举一名代表主持。</w:t>
            </w:r>
          </w:p>
          <w:p w14:paraId="26F756E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独立董事专门会议应当按规定制作会议记录，独立董事的意见应当在会议记录中载明。独立董事应当对会议记录签字确认。</w:t>
            </w:r>
          </w:p>
          <w:p w14:paraId="2E7D4E5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公司为独立董事专门会议的召开提供便利和支持。</w:t>
            </w:r>
          </w:p>
        </w:tc>
      </w:tr>
      <w:tr w14:paraId="17136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702" w:type="dxa"/>
            <w:tcBorders>
              <w:top w:val="single" w:color="000000" w:sz="4" w:space="0"/>
              <w:left w:val="single" w:color="000000" w:sz="12" w:space="0"/>
              <w:bottom w:val="single" w:color="000000" w:sz="4" w:space="0"/>
              <w:right w:val="single" w:color="000000" w:sz="4" w:space="0"/>
            </w:tcBorders>
            <w:shd w:val="clear" w:color="auto" w:fill="FFFFFF"/>
          </w:tcPr>
          <w:p w14:paraId="247AA15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7922" w:type="dxa"/>
            <w:gridSpan w:val="2"/>
            <w:tcBorders>
              <w:top w:val="single" w:color="000000" w:sz="4" w:space="0"/>
              <w:left w:val="single" w:color="000000" w:sz="4" w:space="0"/>
              <w:bottom w:val="single" w:color="000000" w:sz="4" w:space="0"/>
              <w:right w:val="single" w:color="000000" w:sz="12" w:space="0"/>
            </w:tcBorders>
            <w:shd w:val="clear" w:color="auto" w:fill="FFFFFF"/>
          </w:tcPr>
          <w:p w14:paraId="763149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center"/>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第四节 董事会专门委员会</w:t>
            </w:r>
          </w:p>
          <w:p w14:paraId="28C9A26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第一百三十三条  公司董事会设置审计委员会，行使《公司法》规定的监事会的职权。</w:t>
            </w:r>
          </w:p>
          <w:p w14:paraId="37121DC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第一百三十四条  审计委员会成员为</w:t>
            </w:r>
            <w:r>
              <w:rPr>
                <w:rFonts w:hint="default" w:ascii="Times New Roman" w:hAnsi="Times New Roman" w:cs="Times New Roman"/>
                <w:b/>
                <w:bCs/>
                <w:color w:val="000000"/>
                <w:sz w:val="21"/>
                <w:szCs w:val="21"/>
              </w:rPr>
              <w:t>3</w:t>
            </w:r>
            <w:r>
              <w:rPr>
                <w:rFonts w:hint="eastAsia" w:ascii="Times New Roman" w:hAnsi="Times New Roman" w:cs="Times New Roman"/>
                <w:b/>
                <w:bCs/>
                <w:color w:val="000000"/>
                <w:sz w:val="21"/>
                <w:szCs w:val="21"/>
              </w:rPr>
              <w:t>名，为不在公司担任高级管理人员的董事，其中独立董事</w:t>
            </w:r>
            <w:r>
              <w:rPr>
                <w:rFonts w:hint="default" w:ascii="Times New Roman" w:hAnsi="Times New Roman" w:cs="Times New Roman"/>
                <w:b/>
                <w:bCs/>
                <w:color w:val="000000"/>
                <w:sz w:val="21"/>
                <w:szCs w:val="21"/>
              </w:rPr>
              <w:t>2</w:t>
            </w:r>
            <w:r>
              <w:rPr>
                <w:rFonts w:hint="eastAsia" w:ascii="Times New Roman" w:hAnsi="Times New Roman" w:cs="Times New Roman"/>
                <w:b/>
                <w:bCs/>
                <w:color w:val="000000"/>
                <w:sz w:val="21"/>
                <w:szCs w:val="21"/>
              </w:rPr>
              <w:t>名，由独立董事中会计专业人士担任召集人。</w:t>
            </w:r>
          </w:p>
          <w:p w14:paraId="763EE4C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第一百三十五条  审计委员会负责审核公司财务信息及其披露、监督及评估内外部审计工作和内部控制，下列事项应当经审计委员会全体成员过半数同意后，提交董事会审议：</w:t>
            </w:r>
          </w:p>
          <w:p w14:paraId="4127BC2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（一）披露财务会计报告及定期报告中的财务信息、内部控制评价报告；</w:t>
            </w:r>
          </w:p>
          <w:p w14:paraId="21AF2AD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（二）聘用或者解聘承办公司审计业务的会计师事务所；</w:t>
            </w:r>
          </w:p>
          <w:p w14:paraId="442BAC0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（三）聘任或者解聘公司财务负责人；</w:t>
            </w:r>
          </w:p>
          <w:p w14:paraId="1F25CCE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（四）因会计准则变更以外的原因作出会计政策、会计估计变更或者重大会计差错更正；</w:t>
            </w:r>
          </w:p>
          <w:p w14:paraId="1737164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（五）法律、行政法规、中国证监会规定和本章程规定的其他事项。</w:t>
            </w:r>
          </w:p>
          <w:p w14:paraId="2FF385B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第一百三十六条  审计委员会每季度至少召开</w:t>
            </w:r>
            <w:r>
              <w:rPr>
                <w:rFonts w:hint="default" w:ascii="Times New Roman" w:hAnsi="Times New Roman" w:cs="Times New Roman"/>
                <w:b/>
                <w:bCs/>
                <w:color w:val="000000"/>
                <w:sz w:val="21"/>
                <w:szCs w:val="21"/>
              </w:rPr>
              <w:t>1</w:t>
            </w:r>
            <w:r>
              <w:rPr>
                <w:rFonts w:hint="eastAsia" w:ascii="Times New Roman" w:hAnsi="Times New Roman" w:cs="Times New Roman"/>
                <w:b/>
                <w:bCs/>
                <w:color w:val="000000"/>
                <w:sz w:val="21"/>
                <w:szCs w:val="21"/>
              </w:rPr>
              <w:t>次会议。</w:t>
            </w:r>
            <w:r>
              <w:rPr>
                <w:rFonts w:hint="default" w:ascii="Times New Roman" w:hAnsi="Times New Roman" w:cs="Times New Roman"/>
                <w:b/>
                <w:bCs/>
                <w:color w:val="000000"/>
                <w:sz w:val="21"/>
                <w:szCs w:val="21"/>
              </w:rPr>
              <w:t>2</w:t>
            </w:r>
            <w:r>
              <w:rPr>
                <w:rFonts w:hint="eastAsia" w:ascii="Times New Roman" w:hAnsi="Times New Roman" w:cs="Times New Roman"/>
                <w:b/>
                <w:bCs/>
                <w:color w:val="000000"/>
                <w:sz w:val="21"/>
                <w:szCs w:val="21"/>
              </w:rPr>
              <w:t>名及以上成员提议，或者召集人认为有必要时，可以召开临时会议。审计委员会会议须有</w:t>
            </w:r>
            <w:r>
              <w:rPr>
                <w:rFonts w:hint="default" w:ascii="Times New Roman" w:hAnsi="Times New Roman" w:cs="Times New Roman"/>
                <w:b/>
                <w:bCs/>
                <w:color w:val="000000"/>
                <w:sz w:val="21"/>
                <w:szCs w:val="21"/>
              </w:rPr>
              <w:t>2</w:t>
            </w:r>
            <w:r>
              <w:rPr>
                <w:rFonts w:hint="eastAsia" w:ascii="Times New Roman" w:hAnsi="Times New Roman" w:cs="Times New Roman"/>
                <w:b/>
                <w:bCs/>
                <w:color w:val="000000"/>
                <w:sz w:val="21"/>
                <w:szCs w:val="21"/>
              </w:rPr>
              <w:t>/</w:t>
            </w:r>
            <w:r>
              <w:rPr>
                <w:rFonts w:hint="default" w:ascii="Times New Roman" w:hAnsi="Times New Roman" w:cs="Times New Roman"/>
                <w:b/>
                <w:bCs/>
                <w:color w:val="000000"/>
                <w:sz w:val="21"/>
                <w:szCs w:val="21"/>
              </w:rPr>
              <w:t>3</w:t>
            </w:r>
            <w:r>
              <w:rPr>
                <w:rFonts w:hint="eastAsia" w:ascii="Times New Roman" w:hAnsi="Times New Roman" w:cs="Times New Roman"/>
                <w:b/>
                <w:bCs/>
                <w:color w:val="000000"/>
                <w:sz w:val="21"/>
                <w:szCs w:val="21"/>
              </w:rPr>
              <w:t>以上成员出席方可举行。</w:t>
            </w:r>
          </w:p>
          <w:p w14:paraId="6931215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审计委员会作出决议，应当经审计委员会成员的过半数通过。</w:t>
            </w:r>
          </w:p>
          <w:p w14:paraId="7BC1063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审计委员会决议的表决，应当一人一票。</w:t>
            </w:r>
          </w:p>
          <w:p w14:paraId="50E2CF4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审计委员会决议应当按规定制作会议记录，出席会议的审计委员会成员应当在会议记录上签名。</w:t>
            </w:r>
          </w:p>
          <w:p w14:paraId="0D739CF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审计委员会工作规程由董事会负责制定。</w:t>
            </w:r>
          </w:p>
          <w:p w14:paraId="48A9535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第一百三十七条  公司董事会设置战略委员会、提名委员会、薪酬与考核委员会等专门委员会，依照本章程和董事会授权履行职责，专门委员会的提案应当提交董事会审议决定。专门委员会工作规程由董事会负责制定。</w:t>
            </w:r>
          </w:p>
          <w:p w14:paraId="4E3EFBB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（一）战略委员会由</w:t>
            </w:r>
            <w:r>
              <w:rPr>
                <w:rFonts w:hint="default" w:ascii="Times New Roman" w:hAnsi="Times New Roman" w:cs="Times New Roman"/>
                <w:b/>
                <w:bCs/>
                <w:color w:val="000000"/>
                <w:sz w:val="21"/>
                <w:szCs w:val="21"/>
              </w:rPr>
              <w:t>3</w:t>
            </w:r>
            <w:r>
              <w:rPr>
                <w:rFonts w:hint="eastAsia" w:ascii="Times New Roman" w:hAnsi="Times New Roman" w:cs="Times New Roman"/>
                <w:b/>
                <w:bCs/>
                <w:color w:val="000000"/>
                <w:sz w:val="21"/>
                <w:szCs w:val="21"/>
              </w:rPr>
              <w:t>名董事组成，其中至少有</w:t>
            </w:r>
            <w:r>
              <w:rPr>
                <w:rFonts w:hint="default" w:ascii="Times New Roman" w:hAnsi="Times New Roman" w:cs="Times New Roman"/>
                <w:b/>
                <w:bCs/>
                <w:color w:val="000000"/>
                <w:sz w:val="21"/>
                <w:szCs w:val="21"/>
              </w:rPr>
              <w:t>1</w:t>
            </w:r>
            <w:r>
              <w:rPr>
                <w:rFonts w:hint="eastAsia" w:ascii="Times New Roman" w:hAnsi="Times New Roman" w:cs="Times New Roman"/>
                <w:b/>
                <w:bCs/>
                <w:color w:val="000000"/>
                <w:sz w:val="21"/>
                <w:szCs w:val="21"/>
              </w:rPr>
              <w:t>名独立董事，由公司董事长担任召集人。战略委员会主要负责对公司长期发展战略和重大投资决策进行研究并提出建议。</w:t>
            </w:r>
          </w:p>
          <w:p w14:paraId="07E1A9E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（二）提名委员会由</w:t>
            </w:r>
            <w:r>
              <w:rPr>
                <w:rFonts w:hint="default" w:ascii="Times New Roman" w:hAnsi="Times New Roman" w:cs="Times New Roman"/>
                <w:b/>
                <w:bCs/>
                <w:color w:val="000000"/>
                <w:sz w:val="21"/>
                <w:szCs w:val="21"/>
              </w:rPr>
              <w:t>3</w:t>
            </w:r>
            <w:r>
              <w:rPr>
                <w:rFonts w:hint="eastAsia" w:ascii="Times New Roman" w:hAnsi="Times New Roman" w:cs="Times New Roman"/>
                <w:b/>
                <w:bCs/>
                <w:color w:val="000000"/>
                <w:sz w:val="21"/>
                <w:szCs w:val="21"/>
              </w:rPr>
              <w:t>名董事组成，其中独立董事应当过半数并担任召集人。提名委员会行使本章程第一百三十八条规定的职权。</w:t>
            </w:r>
          </w:p>
          <w:p w14:paraId="3FBF259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（三）薪酬与考核委员会由</w:t>
            </w:r>
            <w:r>
              <w:rPr>
                <w:rFonts w:hint="default" w:ascii="Times New Roman" w:hAnsi="Times New Roman" w:cs="Times New Roman"/>
                <w:b/>
                <w:bCs/>
                <w:color w:val="000000"/>
                <w:sz w:val="21"/>
                <w:szCs w:val="21"/>
              </w:rPr>
              <w:t>3</w:t>
            </w:r>
            <w:r>
              <w:rPr>
                <w:rFonts w:hint="eastAsia" w:ascii="Times New Roman" w:hAnsi="Times New Roman" w:cs="Times New Roman"/>
                <w:b/>
                <w:bCs/>
                <w:color w:val="000000"/>
                <w:sz w:val="21"/>
                <w:szCs w:val="21"/>
              </w:rPr>
              <w:t>名董事组成，其中独立董事应当过半数并担任召集人。薪酬与考核委员会行使本章程第一百三十九条规定的职权。</w:t>
            </w:r>
          </w:p>
          <w:p w14:paraId="7C48D15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董事会负责制定专门委员会工作规程，规范专门委员会的运作。董事会不得全权授予专门委员会行使其法定职权。</w:t>
            </w:r>
          </w:p>
          <w:p w14:paraId="70CC193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第一百三十八条  提名委员会负责拟定董事、高级管理人员的选择标准和程序，对董事、高级管理人员人选及其任职资格进行遴选、审核，并就下列事项向董事会提出建议：</w:t>
            </w:r>
          </w:p>
          <w:p w14:paraId="3F8D252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（一）提名或者任免董事；</w:t>
            </w:r>
          </w:p>
          <w:p w14:paraId="01CC9CD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（二）聘任或者解聘高级管理人员；</w:t>
            </w:r>
          </w:p>
          <w:p w14:paraId="1CD6232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（三）法律、行政法规、中国证监会规定和本章程规定的其他事项。</w:t>
            </w:r>
          </w:p>
          <w:p w14:paraId="0CD27D1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董事会对提名委员会的建议未采纳或者未完全采纳的，应当在董事会决议中记载提名委员会的意见及未采纳的具体理由，并进行披露。</w:t>
            </w:r>
          </w:p>
          <w:p w14:paraId="75CD3BF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第一百三十九条</w:t>
            </w:r>
            <w:r>
              <w:rPr>
                <w:rFonts w:hint="eastAsia" w:cs="Times New Roman"/>
                <w:b/>
                <w:bCs/>
                <w:color w:val="000000"/>
                <w:sz w:val="21"/>
                <w:szCs w:val="21"/>
                <w:lang w:val="en-US" w:eastAsia="zh-CN"/>
              </w:rPr>
              <w:t xml:space="preserve">  </w:t>
            </w:r>
            <w:r>
              <w:rPr>
                <w:rFonts w:hint="eastAsia" w:ascii="Times New Roman" w:hAnsi="Times New Roman" w:cs="Times New Roman"/>
                <w:b/>
                <w:bCs/>
                <w:color w:val="000000"/>
                <w:sz w:val="21"/>
                <w:szCs w:val="21"/>
              </w:rPr>
              <w:t>薪酬与考核委员会负责制定董事、高级管理人员的考核标准并进行考核，制定、审查董事、高级管理人员的薪酬决定机制、决策流程、支付与止付追索安排等薪酬政策与方案，并就下列事项向董事会提出建议：</w:t>
            </w:r>
          </w:p>
          <w:p w14:paraId="18B90AC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（一）董事、高级管理人员的薪酬；</w:t>
            </w:r>
          </w:p>
          <w:p w14:paraId="020F3A3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（二）制定或者变更股权激励计划、员工持股计划，激励对象获授权益、行使权益条件的成就；</w:t>
            </w:r>
          </w:p>
          <w:p w14:paraId="32DDFC0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（三）董事、高级管理人员在拟分拆所属子公司安排持股计划；</w:t>
            </w:r>
          </w:p>
          <w:p w14:paraId="40490A5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（四）法律、行政法规、中国证监会规定和本章程规定的其他事项。</w:t>
            </w:r>
          </w:p>
          <w:p w14:paraId="0792A1E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董事会对薪酬与考核委员会的建议未采纳或者未完全采纳的，应当在董事会决议中记载薪酬与考核委员会的意见及未采纳的具体理由，并进行披露。</w:t>
            </w:r>
          </w:p>
        </w:tc>
      </w:tr>
      <w:tr w14:paraId="43FFF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624" w:type="dxa"/>
            <w:gridSpan w:val="3"/>
            <w:tcBorders>
              <w:top w:val="single" w:color="000000" w:sz="4" w:space="0"/>
              <w:left w:val="single" w:color="000000" w:sz="12" w:space="0"/>
              <w:bottom w:val="single" w:color="000000" w:sz="4" w:space="0"/>
              <w:right w:val="single" w:color="000000" w:sz="12" w:space="0"/>
            </w:tcBorders>
            <w:shd w:val="clear" w:color="auto" w:fill="FFFFFF"/>
            <w:vAlign w:val="center"/>
          </w:tcPr>
          <w:p w14:paraId="40E096D1">
            <w:pPr>
              <w:pStyle w:val="2"/>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ascii="Times New Roman" w:hAnsi="Times New Roman" w:cs="Times New Roman"/>
                <w:b w:val="0"/>
                <w:bCs w:val="0"/>
                <w:color w:val="000000"/>
                <w:sz w:val="21"/>
                <w:szCs w:val="21"/>
              </w:rPr>
            </w:pPr>
            <w:bookmarkStart w:id="11" w:name="_Toc6320737"/>
            <w:bookmarkStart w:id="12" w:name="_Toc6321094"/>
            <w:bookmarkStart w:id="13" w:name="_Toc6320702"/>
            <w:bookmarkStart w:id="14" w:name="_Toc2889"/>
            <w:r>
              <w:rPr>
                <w:rFonts w:ascii="Times New Roman" w:hAnsi="Times New Roman" w:cs="Times New Roman"/>
                <w:sz w:val="21"/>
                <w:szCs w:val="21"/>
              </w:rPr>
              <w:t>第六章</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高级管理人员</w:t>
            </w:r>
            <w:bookmarkEnd w:id="11"/>
            <w:bookmarkEnd w:id="12"/>
            <w:bookmarkEnd w:id="13"/>
            <w:bookmarkEnd w:id="14"/>
          </w:p>
        </w:tc>
      </w:tr>
      <w:tr w14:paraId="740EB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DBAAEA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第一百三十三条  公司设董事会秘书，董事会秘书是公司高级管理人员，负责公司</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和董事会会议的筹备、文件保管以及公司股东资料管理，办理信息披露事务等事宜。</w:t>
            </w:r>
          </w:p>
          <w:p w14:paraId="022E34E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董事会秘书对公司和董事会负责，履行如下职责： </w:t>
            </w:r>
          </w:p>
          <w:p w14:paraId="37010A7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（一）负责组织协调和管理公司信息披露事务，督促公司制定并执行信息披露管理制度，及时主动全面掌握公司经营运作情况，促使公司和相关当事人依法履行信息披露义务； </w:t>
            </w:r>
          </w:p>
          <w:p w14:paraId="0C8271C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二）负责公司投资者关系管理和股东资料管理工作，接待投资者来访，回答投资者咨询，确保与投资者沟通渠道畅通。协调公司与证券监管机构、股东及实际控制人、保荐人、证券服务机构、媒体等之间的信息沟通； </w:t>
            </w:r>
          </w:p>
          <w:p w14:paraId="0A7FE6A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三）负责按照法定程序组织筹备董事会会议和股东大会，参加股东大会、董事会会议、监事会会议及高级管理人员相关会议，协调制作并保管董事会和股东大会会议文件、会议记录，以及股东名册、相关证券持有人名册等资料；保管董事会印章，严格按规范做好用印登记工作； </w:t>
            </w:r>
          </w:p>
          <w:p w14:paraId="2016F7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（四）负责组织协调对公司治理运作和涉及信息的重大经营管理事项决策程序进行合规性审查，促使董事会、独立董事、监事会和经营管理层完善运作制度，依法行使职权，维护广大投资者的合法权益； </w:t>
            </w:r>
          </w:p>
          <w:p w14:paraId="0709A5E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五）负责组织协调内幕信息管理工作，督促公司制定完善并执行内幕信息管理制度，严格控制内幕信息知情人范围，与内幕信息知情人签订保密协议，加强内幕信息知情人登记管理，防范内幕信息泄露和内幕交易，在未公开重大信息出现泄露时，及时向证券交易所报告并公告； </w:t>
            </w:r>
          </w:p>
          <w:p w14:paraId="52C1DE9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六）负责参与公司媒体公共关系管理工作，协调统一公司对外宣传报道与信息披露口径，建立完善媒体信息收集反馈媒体危机管理机制，协调公司及时回应媒体质疑，妥善处理对公司影响重大的不实信息。关注媒体报道并主动求证真实情况，督促董事会及时回复证券交易所所有问询； </w:t>
            </w:r>
          </w:p>
          <w:p w14:paraId="3115CF1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七）负责组织协调公司证券业务知识培训工作，持续向公司董事、监事和高级管理人员、实际控制人和控股股东宣传有关上市公司治理运作、信息披露的法律法规、政策及要求，督促公司董事、监事和高级管理人员、实际控制人、持股比例在</w:t>
            </w:r>
            <w:r>
              <w:rPr>
                <w:rFonts w:hint="default" w:ascii="Times New Roman" w:hAnsi="Times New Roman" w:cs="Times New Roman"/>
                <w:b/>
                <w:bCs/>
                <w:strike/>
                <w:dstrike w:val="0"/>
                <w:color w:val="000000"/>
                <w:sz w:val="21"/>
                <w:szCs w:val="21"/>
              </w:rPr>
              <w:t>5</w:t>
            </w:r>
            <w:r>
              <w:rPr>
                <w:rFonts w:hint="eastAsia" w:ascii="Times New Roman" w:hAnsi="Times New Roman" w:cs="Times New Roman"/>
                <w:b/>
                <w:bCs/>
                <w:strike/>
                <w:dstrike w:val="0"/>
                <w:color w:val="000000"/>
                <w:sz w:val="21"/>
                <w:szCs w:val="21"/>
              </w:rPr>
              <w:t xml:space="preserve">%以上的股东及其法定代表人参加必要的培训，学习证券法律法规政策知识，协助其了解自身法定权利、义务和责任并切实遵守相关规定； </w:t>
            </w:r>
          </w:p>
          <w:p w14:paraId="18E1913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八）负责组织协调公司董事、监事和高级管理人员持有公司股份及其变动管理工作，督促公司制定专项制度，管理公司董事、监事和高级管理人员的身份及所持公司股份的数据和信息，统一为董事、监事和高级管理人员办理个人信息的网上申报，并定期检查董事、监事和高级管理人员买卖公司股票的披露情况，对董事、监事和高级管理人员违规买卖公司股票行为提请董事会对其采取问责措施； </w:t>
            </w:r>
          </w:p>
          <w:p w14:paraId="5B3D304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strike/>
                <w:dstrike w:val="0"/>
                <w:color w:val="000000"/>
                <w:sz w:val="21"/>
                <w:szCs w:val="21"/>
              </w:rPr>
            </w:pPr>
            <w:r>
              <w:rPr>
                <w:rFonts w:hint="eastAsia" w:ascii="Times New Roman" w:hAnsi="Times New Roman" w:cs="Times New Roman"/>
                <w:b/>
                <w:bCs/>
                <w:strike/>
                <w:dstrike w:val="0"/>
                <w:color w:val="000000"/>
                <w:sz w:val="21"/>
                <w:szCs w:val="21"/>
              </w:rPr>
              <w:t xml:space="preserve">（九）督促董事、监事和高级管理人员遵守法律、法规、规章、规范性文件、证券交易所规则、其他相关规定及公司章程，切实履行其所作出的承诺；在知悉公司作出或可能作出违反有关规定的决议时，应予以提醒并立即如实地向证券交易所报告； </w:t>
            </w:r>
          </w:p>
          <w:p w14:paraId="51EF74D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（十）《公司法》《证券法》等法律法规、证券监管部门、深圳证券交易所和本章程所要求履行的其他职责。</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47DCDD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第一百四十九条  公司设董事会秘书，负责公司</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和董事会会议的筹备、文件保管以及公司股东资料管理，办理信息披露事务等事宜。</w:t>
            </w:r>
          </w:p>
          <w:p w14:paraId="3F54A32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董事会秘书应遵守法律、行政法规、部门规章及本章程的有关规定。</w:t>
            </w:r>
          </w:p>
        </w:tc>
      </w:tr>
      <w:tr w14:paraId="6F3C3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43EF04B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第一百三十四条  高级管理人员执行公司职务时违反法律、行政法规、部门规章或本章程的规定，给公司造成损失的，应当承担赔偿责任。</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6FDEA0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w:t>
            </w:r>
            <w:r>
              <w:rPr>
                <w:rFonts w:hint="eastAsia" w:cs="Times New Roman"/>
                <w:b w:val="0"/>
                <w:bCs w:val="0"/>
                <w:color w:val="000000"/>
                <w:sz w:val="21"/>
                <w:szCs w:val="21"/>
                <w:lang w:val="en-US" w:eastAsia="zh-CN"/>
              </w:rPr>
              <w:t>五</w:t>
            </w:r>
            <w:r>
              <w:rPr>
                <w:rFonts w:hint="eastAsia" w:ascii="Times New Roman" w:hAnsi="Times New Roman" w:cs="Times New Roman"/>
                <w:b w:val="0"/>
                <w:bCs w:val="0"/>
                <w:color w:val="000000"/>
                <w:sz w:val="21"/>
                <w:szCs w:val="21"/>
              </w:rPr>
              <w:t xml:space="preserve">十条  </w:t>
            </w:r>
            <w:r>
              <w:rPr>
                <w:rFonts w:hint="eastAsia" w:ascii="Times New Roman" w:hAnsi="Times New Roman" w:cs="Times New Roman"/>
                <w:b w:val="0"/>
                <w:bCs w:val="0"/>
                <w:color w:val="auto"/>
                <w:sz w:val="21"/>
                <w:szCs w:val="21"/>
              </w:rPr>
              <w:t>高级管理人员执行公司职务，</w:t>
            </w:r>
            <w:r>
              <w:rPr>
                <w:rFonts w:hint="eastAsia" w:ascii="Times New Roman" w:hAnsi="Times New Roman" w:cs="Times New Roman"/>
                <w:b/>
                <w:bCs/>
                <w:color w:val="auto"/>
                <w:sz w:val="21"/>
                <w:szCs w:val="21"/>
              </w:rPr>
              <w:t>给他人造成损害的，公司将承担赔偿责任；高级管理人员存在故意或者重大过失的，也应当承担赔偿责任。</w:t>
            </w:r>
          </w:p>
          <w:p w14:paraId="4AC125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高级管理人员执行公司职务时违反法律、行政法规、部门规章或本章程的规定，给公司造成损失的，应当承担赔偿责任。</w:t>
            </w:r>
          </w:p>
        </w:tc>
      </w:tr>
      <w:tr w14:paraId="5AF83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FE4310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cs="Times New Roman"/>
                <w:b/>
                <w:bCs/>
                <w:color w:val="000000"/>
                <w:sz w:val="21"/>
                <w:szCs w:val="21"/>
              </w:rPr>
              <w:t>第七章  监事会</w:t>
            </w:r>
            <w:r>
              <w:rPr>
                <w:rFonts w:hint="eastAsia" w:cs="Times New Roman"/>
                <w:b/>
                <w:bCs/>
                <w:color w:val="000000"/>
                <w:sz w:val="21"/>
                <w:szCs w:val="21"/>
                <w:lang w:val="en-US" w:eastAsia="zh-CN"/>
              </w:rPr>
              <w:t xml:space="preserve">  所有内容</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7AA174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全部删除</w:t>
            </w:r>
          </w:p>
        </w:tc>
      </w:tr>
      <w:tr w14:paraId="02430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53DB397A">
            <w:pPr>
              <w:pStyle w:val="2"/>
              <w:keepNext w:val="0"/>
              <w:keepLines w:val="0"/>
              <w:pageBreakBefore w:val="0"/>
              <w:widowControl w:val="0"/>
              <w:kinsoku/>
              <w:wordWrap/>
              <w:overflowPunct/>
              <w:topLinePunct w:val="0"/>
              <w:autoSpaceDE/>
              <w:autoSpaceDN/>
              <w:bidi w:val="0"/>
              <w:spacing w:line="240" w:lineRule="auto"/>
              <w:ind w:left="0" w:leftChars="0" w:right="0"/>
              <w:jc w:val="both"/>
              <w:textAlignment w:val="auto"/>
              <w:rPr>
                <w:rFonts w:hint="default" w:ascii="Times New Roman" w:hAnsi="Times New Roman" w:eastAsia="宋体" w:cs="Times New Roman"/>
                <w:b w:val="0"/>
                <w:bCs w:val="0"/>
                <w:color w:val="000000"/>
                <w:sz w:val="21"/>
                <w:szCs w:val="21"/>
                <w:lang w:val="en-US" w:eastAsia="zh-CN"/>
              </w:rPr>
            </w:pPr>
            <w:bookmarkStart w:id="15" w:name="_Toc6320741"/>
            <w:bookmarkStart w:id="16" w:name="_Toc6320706"/>
            <w:bookmarkStart w:id="17" w:name="_Toc6321098"/>
            <w:bookmarkStart w:id="18" w:name="_Toc356919116"/>
            <w:r>
              <w:rPr>
                <w:rFonts w:ascii="Times New Roman" w:hAnsi="Times New Roman" w:cs="Times New Roman"/>
                <w:sz w:val="21"/>
                <w:szCs w:val="21"/>
              </w:rPr>
              <w:t>第八章  重大交易决策程序</w:t>
            </w:r>
            <w:bookmarkEnd w:id="15"/>
            <w:bookmarkEnd w:id="16"/>
            <w:bookmarkEnd w:id="17"/>
            <w:bookmarkEnd w:id="18"/>
            <w:r>
              <w:rPr>
                <w:rFonts w:hint="eastAsia" w:cs="Times New Roman"/>
                <w:sz w:val="21"/>
                <w:szCs w:val="21"/>
                <w:lang w:val="en-US" w:eastAsia="zh-CN"/>
              </w:rPr>
              <w:t xml:space="preserve">   所有内容</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3083A8F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全部删除</w:t>
            </w:r>
          </w:p>
        </w:tc>
      </w:tr>
      <w:tr w14:paraId="07A3F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624" w:type="dxa"/>
            <w:gridSpan w:val="3"/>
            <w:tcBorders>
              <w:top w:val="single" w:color="000000" w:sz="4" w:space="0"/>
              <w:left w:val="single" w:color="000000" w:sz="12" w:space="0"/>
              <w:bottom w:val="single" w:color="000000" w:sz="4" w:space="0"/>
              <w:right w:val="single" w:color="000000" w:sz="12" w:space="0"/>
            </w:tcBorders>
            <w:shd w:val="clear" w:color="auto" w:fill="FFFFFF"/>
            <w:vAlign w:val="center"/>
          </w:tcPr>
          <w:p w14:paraId="03A02A20">
            <w:pPr>
              <w:pStyle w:val="2"/>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ascii="Times New Roman" w:hAnsi="Times New Roman" w:cs="Times New Roman"/>
                <w:b w:val="0"/>
                <w:bCs w:val="0"/>
                <w:color w:val="000000"/>
                <w:sz w:val="21"/>
                <w:szCs w:val="21"/>
              </w:rPr>
            </w:pPr>
            <w:bookmarkStart w:id="19" w:name="_Toc6320744"/>
            <w:bookmarkStart w:id="20" w:name="_Toc6321101"/>
            <w:bookmarkStart w:id="21" w:name="_Toc6320709"/>
            <w:r>
              <w:rPr>
                <w:rFonts w:ascii="Times New Roman" w:hAnsi="Times New Roman" w:cs="Times New Roman"/>
                <w:sz w:val="21"/>
                <w:szCs w:val="21"/>
              </w:rPr>
              <w:t>第</w:t>
            </w:r>
            <w:r>
              <w:rPr>
                <w:rFonts w:hint="eastAsia" w:cs="Times New Roman"/>
                <w:sz w:val="21"/>
                <w:szCs w:val="21"/>
                <w:lang w:val="en-US" w:eastAsia="zh-CN"/>
              </w:rPr>
              <w:t>七</w:t>
            </w:r>
            <w:r>
              <w:rPr>
                <w:rFonts w:ascii="Times New Roman" w:hAnsi="Times New Roman" w:cs="Times New Roman"/>
                <w:sz w:val="21"/>
                <w:szCs w:val="21"/>
              </w:rPr>
              <w:t>章</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财务会计制度、利润分配和审计</w:t>
            </w:r>
            <w:bookmarkEnd w:id="19"/>
            <w:bookmarkEnd w:id="20"/>
            <w:bookmarkEnd w:id="21"/>
          </w:p>
        </w:tc>
      </w:tr>
      <w:tr w14:paraId="06349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F06118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第一百七十九条  ……</w:t>
            </w:r>
          </w:p>
          <w:p w14:paraId="626893B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违</w:t>
            </w:r>
            <w:r>
              <w:rPr>
                <w:rFonts w:hint="eastAsia" w:ascii="Times New Roman" w:hAnsi="Times New Roman" w:cs="Times New Roman"/>
                <w:b/>
                <w:bCs/>
                <w:strike/>
                <w:dstrike w:val="0"/>
                <w:color w:val="000000"/>
                <w:sz w:val="21"/>
                <w:szCs w:val="21"/>
              </w:rPr>
              <w:t>反前款规定，在公司弥补亏损和提取法定公积金之前</w:t>
            </w:r>
            <w:r>
              <w:rPr>
                <w:rFonts w:hint="eastAsia" w:ascii="Times New Roman" w:hAnsi="Times New Roman" w:cs="Times New Roman"/>
                <w:b w:val="0"/>
                <w:bCs w:val="0"/>
                <w:color w:val="000000"/>
                <w:sz w:val="21"/>
                <w:szCs w:val="21"/>
              </w:rPr>
              <w:t>向股东分配利润的，股东必须将违反规定分配的利润退还公司。</w:t>
            </w:r>
          </w:p>
          <w:p w14:paraId="5310133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公司持有的本公司股份不参与分配利润。</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BA2CB6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第一百五十五条  ……</w:t>
            </w:r>
          </w:p>
          <w:p w14:paraId="0E9195B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股东会违反《公司法》</w:t>
            </w:r>
            <w:r>
              <w:rPr>
                <w:rFonts w:hint="eastAsia" w:ascii="Times New Roman" w:hAnsi="Times New Roman" w:cs="Times New Roman"/>
                <w:b w:val="0"/>
                <w:bCs w:val="0"/>
                <w:color w:val="000000"/>
                <w:sz w:val="21"/>
                <w:szCs w:val="21"/>
              </w:rPr>
              <w:t>向股东分配利润的，股东</w:t>
            </w:r>
            <w:r>
              <w:rPr>
                <w:rFonts w:hint="eastAsia" w:ascii="Times New Roman" w:hAnsi="Times New Roman" w:cs="Times New Roman"/>
                <w:b/>
                <w:bCs/>
                <w:color w:val="auto"/>
                <w:sz w:val="21"/>
                <w:szCs w:val="21"/>
              </w:rPr>
              <w:t>应当</w:t>
            </w:r>
            <w:r>
              <w:rPr>
                <w:rFonts w:hint="eastAsia" w:ascii="Times New Roman" w:hAnsi="Times New Roman" w:cs="Times New Roman"/>
                <w:b w:val="0"/>
                <w:bCs w:val="0"/>
                <w:color w:val="000000"/>
                <w:sz w:val="21"/>
                <w:szCs w:val="21"/>
              </w:rPr>
              <w:t>将违反规定分配的利润退还公司</w:t>
            </w:r>
            <w:r>
              <w:rPr>
                <w:rFonts w:hint="eastAsia" w:ascii="Times New Roman" w:hAnsi="Times New Roman" w:cs="Times New Roman"/>
                <w:b/>
                <w:bCs/>
                <w:color w:val="auto"/>
                <w:sz w:val="21"/>
                <w:szCs w:val="21"/>
              </w:rPr>
              <w:t>；给公司造成损失的，股东及负有责任的董事、高级管理人员应当承担赔偿责任</w:t>
            </w:r>
            <w:r>
              <w:rPr>
                <w:rFonts w:hint="eastAsia" w:ascii="Times New Roman" w:hAnsi="Times New Roman" w:cs="Times New Roman"/>
                <w:b w:val="0"/>
                <w:bCs w:val="0"/>
                <w:color w:val="000000"/>
                <w:sz w:val="21"/>
                <w:szCs w:val="21"/>
              </w:rPr>
              <w:t>。</w:t>
            </w:r>
          </w:p>
          <w:p w14:paraId="18F163E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公司持有的本公司股份不参与分配利润。</w:t>
            </w:r>
          </w:p>
        </w:tc>
      </w:tr>
      <w:tr w14:paraId="1F7D9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433D5B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5C2423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第一百五十八条  公司的公积金用于弥补公司的亏损、扩大公司生产经营或者转为增加公司注册资本。</w:t>
            </w:r>
          </w:p>
          <w:p w14:paraId="1E25765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公积金弥补公司亏损，先使用任意公积金和法定公积金；仍不能弥补的，可以按照规定使用资本公积金。</w:t>
            </w:r>
          </w:p>
          <w:p w14:paraId="323BCFA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法定公积金转为资本时，所留存的该项公积金将不少于转增前公司注册资本的</w:t>
            </w:r>
            <w:r>
              <w:rPr>
                <w:rFonts w:hint="default" w:ascii="Times New Roman" w:hAnsi="Times New Roman" w:cs="Times New Roman"/>
                <w:b/>
                <w:bCs/>
                <w:color w:val="auto"/>
                <w:sz w:val="21"/>
                <w:szCs w:val="21"/>
              </w:rPr>
              <w:t>25</w:t>
            </w:r>
            <w:r>
              <w:rPr>
                <w:rFonts w:hint="eastAsia" w:ascii="Times New Roman" w:hAnsi="Times New Roman" w:cs="Times New Roman"/>
                <w:b/>
                <w:bCs/>
                <w:color w:val="auto"/>
                <w:sz w:val="21"/>
                <w:szCs w:val="21"/>
              </w:rPr>
              <w:t>%。</w:t>
            </w:r>
          </w:p>
        </w:tc>
      </w:tr>
      <w:tr w14:paraId="5876C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BC836F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第一百八十三条  公司实行内部审计制度，配备专职审计人员，对公司财务收支和经济活动进行内部审计监督。</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3C5328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val="0"/>
                <w:bCs w:val="0"/>
                <w:color w:val="000000"/>
                <w:sz w:val="21"/>
                <w:szCs w:val="21"/>
              </w:rPr>
              <w:t>第一百五十九条  公司实行内部审计制度，</w:t>
            </w:r>
            <w:r>
              <w:rPr>
                <w:rFonts w:hint="eastAsia" w:ascii="Times New Roman" w:hAnsi="Times New Roman" w:cs="Times New Roman"/>
                <w:b/>
                <w:bCs/>
                <w:color w:val="auto"/>
                <w:sz w:val="21"/>
                <w:szCs w:val="21"/>
              </w:rPr>
              <w:t>明确内部审计工作的领导体制、职责权限、人员配备、经费保障、审计结果运用和责任追究等。</w:t>
            </w:r>
          </w:p>
          <w:p w14:paraId="01AA487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公司内部审计制度经董事会批准后实施，并对外披露。</w:t>
            </w:r>
          </w:p>
        </w:tc>
      </w:tr>
      <w:tr w14:paraId="6BF8B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8FEA57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第一百八十四条  公司内部审计制度和审计人员的职责，应当经董事会批准后实施。审计负责人向董事会负责并报告工作。</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B82C28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删除</w:t>
            </w:r>
          </w:p>
        </w:tc>
      </w:tr>
      <w:tr w14:paraId="57E63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4E22AD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C2980B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第一百六十条  公司内部审计机构对公司业务活动、风险管理、内部控制、财务信息等事项进行监督检查。</w:t>
            </w:r>
          </w:p>
          <w:p w14:paraId="6C53A22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内部审计机构应当保持独立性，配备专职审计人员，不得置于财务部门的领导之下，或者与财务部门合署办公。</w:t>
            </w:r>
          </w:p>
        </w:tc>
      </w:tr>
      <w:tr w14:paraId="660EF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6D7429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ascii="Times New Roman" w:hAnsi="Times New Roman" w:cs="Times New Roman"/>
                <w:b w:val="0"/>
                <w:bCs w:val="0"/>
                <w:color w:val="000000"/>
                <w:sz w:val="21"/>
                <w:szCs w:val="21"/>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5971D9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第一百六十一条  内部审计机构向董事会负责。</w:t>
            </w:r>
          </w:p>
          <w:p w14:paraId="3C206F1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内部审计机构在对公司业务活动、风险管理、内部控制、财务信息监督检查过程中，应当接受审计委员会的监督指导。内部审计机构发现相关重大问题或者线索，应当立即向审计委员会直接报告。</w:t>
            </w:r>
          </w:p>
        </w:tc>
      </w:tr>
      <w:tr w14:paraId="2CD93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22D56B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0B1AA12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第一百六十二条  公司内部控制评价的具体组织实施工作由内部审计机构负责。公司根据内部审计机构出具、审计委员会审议后的评价报告及相关资料，出具年度内部控制评价报告。</w:t>
            </w:r>
          </w:p>
        </w:tc>
      </w:tr>
      <w:tr w14:paraId="2B26B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1CBE05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B31BD9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第一百六十三条  审计委员会与会计师事务所、国家审计机构等外部审计单位进行沟通时，内部审计机构应积极配合，提供必要的支持和协作。</w:t>
            </w:r>
          </w:p>
        </w:tc>
      </w:tr>
      <w:tr w14:paraId="11EDF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1DBD7C1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0AE23E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第一百六十四条  审计委员会参与对内部审计负责人的考核。</w:t>
            </w:r>
          </w:p>
        </w:tc>
      </w:tr>
      <w:tr w14:paraId="418F3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0ACC9F3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第一百八十六条  公司聘用会计师事务所必须由</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决定，董事会不得在</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决定前委任会计师事务所。</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09CE9FC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第一百六十六条  公司聘用</w:t>
            </w:r>
            <w:r>
              <w:rPr>
                <w:rFonts w:hint="eastAsia" w:ascii="Times New Roman" w:hAnsi="Times New Roman" w:cs="Times New Roman"/>
                <w:b/>
                <w:bCs/>
                <w:color w:val="auto"/>
                <w:sz w:val="21"/>
                <w:szCs w:val="21"/>
              </w:rPr>
              <w:t>、解聘</w:t>
            </w:r>
            <w:r>
              <w:rPr>
                <w:rFonts w:hint="eastAsia" w:ascii="Times New Roman" w:hAnsi="Times New Roman" w:cs="Times New Roman"/>
                <w:b w:val="0"/>
                <w:bCs w:val="0"/>
                <w:color w:val="000000"/>
                <w:sz w:val="21"/>
                <w:szCs w:val="21"/>
              </w:rPr>
              <w:t>会计师事务所由</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决定，董事会不得在</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决定前委任会计师事务所。</w:t>
            </w:r>
          </w:p>
        </w:tc>
      </w:tr>
      <w:tr w14:paraId="526A0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624" w:type="dxa"/>
            <w:gridSpan w:val="3"/>
            <w:tcBorders>
              <w:top w:val="single" w:color="000000" w:sz="4" w:space="0"/>
              <w:left w:val="single" w:color="000000" w:sz="12" w:space="0"/>
              <w:bottom w:val="single" w:color="000000" w:sz="4" w:space="0"/>
              <w:right w:val="single" w:color="000000" w:sz="12" w:space="0"/>
            </w:tcBorders>
            <w:shd w:val="clear" w:color="auto" w:fill="FFFFFF"/>
            <w:vAlign w:val="center"/>
          </w:tcPr>
          <w:p w14:paraId="65B3ADE2">
            <w:pPr>
              <w:pStyle w:val="2"/>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ascii="Times New Roman" w:hAnsi="Times New Roman" w:cs="Times New Roman"/>
                <w:b w:val="0"/>
                <w:bCs w:val="0"/>
                <w:color w:val="000000"/>
                <w:sz w:val="21"/>
                <w:szCs w:val="21"/>
              </w:rPr>
            </w:pPr>
            <w:bookmarkStart w:id="22" w:name="_Toc6321105"/>
            <w:bookmarkStart w:id="23" w:name="_Toc32283"/>
            <w:bookmarkStart w:id="24" w:name="_Toc6320748"/>
            <w:bookmarkStart w:id="25" w:name="_Toc6320713"/>
            <w:r>
              <w:rPr>
                <w:rFonts w:ascii="Times New Roman" w:hAnsi="Times New Roman" w:cs="Times New Roman"/>
                <w:sz w:val="21"/>
                <w:szCs w:val="21"/>
              </w:rPr>
              <w:t>第</w:t>
            </w:r>
            <w:r>
              <w:rPr>
                <w:rFonts w:hint="eastAsia" w:cs="Times New Roman"/>
                <w:sz w:val="21"/>
                <w:szCs w:val="21"/>
                <w:lang w:val="en-US" w:eastAsia="zh-CN"/>
              </w:rPr>
              <w:t>八</w:t>
            </w:r>
            <w:r>
              <w:rPr>
                <w:rFonts w:ascii="Times New Roman" w:hAnsi="Times New Roman" w:cs="Times New Roman"/>
                <w:sz w:val="21"/>
                <w:szCs w:val="21"/>
              </w:rPr>
              <w:t>章  通知和公告</w:t>
            </w:r>
            <w:bookmarkEnd w:id="22"/>
            <w:bookmarkEnd w:id="23"/>
            <w:bookmarkEnd w:id="24"/>
            <w:bookmarkEnd w:id="25"/>
          </w:p>
        </w:tc>
      </w:tr>
      <w:tr w14:paraId="6EF3E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55ECC92">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第一百九十二条  公司召开</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的会议通知，以</w:t>
            </w:r>
            <w:r>
              <w:rPr>
                <w:rFonts w:hint="eastAsia" w:ascii="Times New Roman" w:hAnsi="Times New Roman" w:cs="Times New Roman"/>
                <w:b/>
                <w:bCs/>
                <w:strike/>
                <w:dstrike w:val="0"/>
                <w:color w:val="000000"/>
                <w:sz w:val="21"/>
                <w:szCs w:val="21"/>
              </w:rPr>
              <w:t>在本章第二节选定的报刊上发布</w:t>
            </w:r>
            <w:r>
              <w:rPr>
                <w:rFonts w:hint="eastAsia" w:ascii="Times New Roman" w:hAnsi="Times New Roman" w:cs="Times New Roman"/>
                <w:b w:val="0"/>
                <w:bCs w:val="0"/>
                <w:color w:val="000000"/>
                <w:sz w:val="21"/>
                <w:szCs w:val="21"/>
              </w:rPr>
              <w:t>公告进行。</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5C6DE75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第一百七十二条  公司召开</w:t>
            </w:r>
            <w:r>
              <w:rPr>
                <w:rFonts w:hint="eastAsia" w:ascii="Times New Roman" w:hAnsi="Times New Roman" w:cs="Times New Roman"/>
                <w:b/>
                <w:bCs/>
                <w:color w:val="000000"/>
                <w:sz w:val="21"/>
                <w:szCs w:val="21"/>
              </w:rPr>
              <w:t>股东会</w:t>
            </w:r>
            <w:r>
              <w:rPr>
                <w:rFonts w:hint="eastAsia" w:ascii="Times New Roman" w:hAnsi="Times New Roman" w:cs="Times New Roman"/>
                <w:b w:val="0"/>
                <w:bCs w:val="0"/>
                <w:color w:val="000000"/>
                <w:sz w:val="21"/>
                <w:szCs w:val="21"/>
              </w:rPr>
              <w:t>的会议通知，以公告进行。</w:t>
            </w:r>
          </w:p>
        </w:tc>
      </w:tr>
      <w:tr w14:paraId="56E33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8F5A6D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第一百九十四条  公司召开监事会的会议通知，以电话通知、书面通知、传真通知或专人送达、邮寄送达的方式进行。</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E22497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删除</w:t>
            </w:r>
          </w:p>
        </w:tc>
      </w:tr>
      <w:tr w14:paraId="73D48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624" w:type="dxa"/>
            <w:gridSpan w:val="3"/>
            <w:tcBorders>
              <w:top w:val="single" w:color="000000" w:sz="4" w:space="0"/>
              <w:left w:val="single" w:color="000000" w:sz="12" w:space="0"/>
              <w:bottom w:val="single" w:color="000000" w:sz="4" w:space="0"/>
              <w:right w:val="single" w:color="000000" w:sz="12" w:space="0"/>
            </w:tcBorders>
            <w:shd w:val="clear" w:color="auto" w:fill="FFFFFF"/>
            <w:vAlign w:val="center"/>
          </w:tcPr>
          <w:p w14:paraId="39DB5308">
            <w:pPr>
              <w:pStyle w:val="2"/>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ascii="Times New Roman" w:hAnsi="Times New Roman" w:cs="Times New Roman"/>
                <w:b w:val="0"/>
                <w:bCs w:val="0"/>
                <w:color w:val="000000"/>
                <w:sz w:val="21"/>
                <w:szCs w:val="21"/>
              </w:rPr>
            </w:pPr>
            <w:bookmarkStart w:id="26" w:name="_Toc6320751"/>
            <w:bookmarkStart w:id="27" w:name="_Toc6321108"/>
            <w:bookmarkStart w:id="28" w:name="_Toc6320716"/>
            <w:r>
              <w:rPr>
                <w:rFonts w:ascii="Times New Roman" w:hAnsi="Times New Roman" w:cs="Times New Roman"/>
                <w:sz w:val="21"/>
                <w:szCs w:val="21"/>
              </w:rPr>
              <w:t>第</w:t>
            </w:r>
            <w:r>
              <w:rPr>
                <w:rFonts w:hint="eastAsia" w:cs="Times New Roman"/>
                <w:sz w:val="21"/>
                <w:szCs w:val="21"/>
                <w:lang w:val="en-US" w:eastAsia="zh-CN"/>
              </w:rPr>
              <w:t>九</w:t>
            </w:r>
            <w:r>
              <w:rPr>
                <w:rFonts w:ascii="Times New Roman" w:hAnsi="Times New Roman" w:cs="Times New Roman"/>
                <w:sz w:val="21"/>
                <w:szCs w:val="21"/>
              </w:rPr>
              <w:t>章  合并、分立、增资、减资、解散和清算</w:t>
            </w:r>
            <w:bookmarkEnd w:id="26"/>
            <w:bookmarkEnd w:id="27"/>
            <w:bookmarkEnd w:id="28"/>
          </w:p>
        </w:tc>
      </w:tr>
      <w:tr w14:paraId="468FC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6E40E1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E4546D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第一百七十八条  公司合并支付的价款不超过本公司净资产百分之十的，可以不经股东会决议，但本章程另有规定的除外。</w:t>
            </w:r>
          </w:p>
          <w:p w14:paraId="66D2EDA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 xml:space="preserve">公司依照前款规定合并不经股东会决议的，应当经董事会决议。 </w:t>
            </w:r>
          </w:p>
        </w:tc>
      </w:tr>
      <w:tr w14:paraId="34EEE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5A5002A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第二百零三条  公司需要减少注册资本时，必须编制资产负债表及财产清单。</w:t>
            </w:r>
          </w:p>
          <w:p w14:paraId="63DC26F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公司应当自作出减少注册资本决议之日起</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日内通知债权人，并于</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日内在报纸上公告。债权人自接到通知书之日起</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日内，未接到通知书的自公告之日起</w:t>
            </w:r>
            <w:r>
              <w:rPr>
                <w:rFonts w:hint="default" w:ascii="Times New Roman" w:hAnsi="Times New Roman" w:cs="Times New Roman"/>
                <w:b w:val="0"/>
                <w:bCs w:val="0"/>
                <w:color w:val="000000"/>
                <w:sz w:val="21"/>
                <w:szCs w:val="21"/>
              </w:rPr>
              <w:t>45</w:t>
            </w:r>
            <w:r>
              <w:rPr>
                <w:rFonts w:hint="eastAsia" w:ascii="Times New Roman" w:hAnsi="Times New Roman" w:cs="Times New Roman"/>
                <w:b w:val="0"/>
                <w:bCs w:val="0"/>
                <w:color w:val="000000"/>
                <w:sz w:val="21"/>
                <w:szCs w:val="21"/>
              </w:rPr>
              <w:t>日内，有权要求公司清偿债务或者提供相应的担保。</w:t>
            </w:r>
          </w:p>
          <w:p w14:paraId="60DB96B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公司减资后的注册资本将不低于法定的最低限额。</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2574EC4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第一百八十三条  公司需要减少注册资本时，必须编制资产负债表及财产清单。</w:t>
            </w:r>
          </w:p>
          <w:p w14:paraId="6E4580F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公司应当自</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作出减少注册资本决议之日起</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日内通知债权人，并于</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日内在报纸上</w:t>
            </w:r>
            <w:r>
              <w:rPr>
                <w:rFonts w:hint="eastAsia" w:ascii="Times New Roman" w:hAnsi="Times New Roman" w:cs="Times New Roman"/>
                <w:b/>
                <w:bCs/>
                <w:color w:val="auto"/>
                <w:sz w:val="21"/>
                <w:szCs w:val="21"/>
              </w:rPr>
              <w:t>或者国家企业信用信息公示系统</w:t>
            </w:r>
            <w:r>
              <w:rPr>
                <w:rFonts w:hint="eastAsia" w:ascii="Times New Roman" w:hAnsi="Times New Roman" w:cs="Times New Roman"/>
                <w:b w:val="0"/>
                <w:bCs w:val="0"/>
                <w:color w:val="000000"/>
                <w:sz w:val="21"/>
                <w:szCs w:val="21"/>
              </w:rPr>
              <w:t>公告。债权人自接到通知书之日起</w:t>
            </w:r>
            <w:r>
              <w:rPr>
                <w:rFonts w:hint="default" w:ascii="Times New Roman" w:hAnsi="Times New Roman" w:cs="Times New Roman"/>
                <w:b w:val="0"/>
                <w:bCs w:val="0"/>
                <w:color w:val="000000"/>
                <w:sz w:val="21"/>
                <w:szCs w:val="21"/>
              </w:rPr>
              <w:t>30</w:t>
            </w:r>
            <w:r>
              <w:rPr>
                <w:rFonts w:hint="eastAsia" w:ascii="Times New Roman" w:hAnsi="Times New Roman" w:cs="Times New Roman"/>
                <w:b w:val="0"/>
                <w:bCs w:val="0"/>
                <w:color w:val="000000"/>
                <w:sz w:val="21"/>
                <w:szCs w:val="21"/>
              </w:rPr>
              <w:t>日内，未接到通知书的自公告之日起</w:t>
            </w:r>
            <w:r>
              <w:rPr>
                <w:rFonts w:hint="default" w:ascii="Times New Roman" w:hAnsi="Times New Roman" w:cs="Times New Roman"/>
                <w:b w:val="0"/>
                <w:bCs w:val="0"/>
                <w:color w:val="000000"/>
                <w:sz w:val="21"/>
                <w:szCs w:val="21"/>
              </w:rPr>
              <w:t>45</w:t>
            </w:r>
            <w:r>
              <w:rPr>
                <w:rFonts w:hint="eastAsia" w:ascii="Times New Roman" w:hAnsi="Times New Roman" w:cs="Times New Roman"/>
                <w:b w:val="0"/>
                <w:bCs w:val="0"/>
                <w:color w:val="000000"/>
                <w:sz w:val="21"/>
                <w:szCs w:val="21"/>
              </w:rPr>
              <w:t>日内，有权要求公司清偿债务或者提供相应的担保。</w:t>
            </w:r>
          </w:p>
          <w:p w14:paraId="2C3B409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公司减资的注册资本</w:t>
            </w:r>
            <w:r>
              <w:rPr>
                <w:rFonts w:hint="eastAsia" w:ascii="Times New Roman" w:hAnsi="Times New Roman" w:cs="Times New Roman"/>
                <w:b/>
                <w:bCs/>
                <w:color w:val="auto"/>
                <w:sz w:val="21"/>
                <w:szCs w:val="21"/>
              </w:rPr>
              <w:t>，应当按照股东持有股份的比例相应减少出资额或者股份，法律或者本章程另有规定的除外</w:t>
            </w:r>
            <w:r>
              <w:rPr>
                <w:rFonts w:hint="eastAsia" w:ascii="Times New Roman" w:hAnsi="Times New Roman" w:cs="Times New Roman"/>
                <w:b w:val="0"/>
                <w:bCs w:val="0"/>
                <w:color w:val="000000"/>
                <w:sz w:val="21"/>
                <w:szCs w:val="21"/>
              </w:rPr>
              <w:t>。</w:t>
            </w:r>
          </w:p>
        </w:tc>
      </w:tr>
      <w:tr w14:paraId="20F65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0CCA50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336ED47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第一百八十四条  公司依照本章程第一百五十八条第二款的规定弥补亏损后，仍有亏损的，可以减少注册资本弥补亏损。减少注册资本弥补亏损的，公司不得向股东分配，也不得免除股东缴纳出资或者股款的义务。</w:t>
            </w:r>
          </w:p>
          <w:p w14:paraId="3E99429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依照前款规定减少注册资本的，不适用本章程第一百八十三条第二款的规定，但应当自股东会作出减少注册资本决议之日起三十日内在报纸上或者国家企业信用信息公示系统公告。</w:t>
            </w:r>
          </w:p>
          <w:p w14:paraId="68D88BC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公司依照前两款的规定减少注册资本后，在法定公积金和任意公积金累计额达到公司注册资本百分之五十前，不得分配利润。</w:t>
            </w:r>
          </w:p>
        </w:tc>
      </w:tr>
      <w:tr w14:paraId="3024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749DAAC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3C7F57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第一百八十五条  违反《公司法》及其他相关规定减少注册资本的，股东应当退还其收到的资金，减免股东出资的应当恢复原状；给公司造成损失的，股东及负有责任的董事、高级管理人员应当承担赔偿责任。</w:t>
            </w:r>
          </w:p>
        </w:tc>
      </w:tr>
      <w:tr w14:paraId="21891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5AECA03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eastAsia="宋体" w:cs="Times New Roman"/>
                <w:b w:val="0"/>
                <w:bCs w:val="0"/>
                <w:color w:val="000000"/>
                <w:sz w:val="21"/>
                <w:szCs w:val="21"/>
                <w:lang w:val="en-US" w:eastAsia="zh-CN"/>
              </w:rPr>
            </w:pPr>
            <w:r>
              <w:rPr>
                <w:rFonts w:hint="eastAsia" w:cs="Times New Roman"/>
                <w:b w:val="0"/>
                <w:bCs w:val="0"/>
                <w:color w:val="000000"/>
                <w:sz w:val="21"/>
                <w:szCs w:val="21"/>
                <w:lang w:val="en-US" w:eastAsia="zh-CN"/>
              </w:rPr>
              <w:t>新增</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1E02D8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第一百八十六条  公司为增加注册资本发行新股时，股东不享有优先认购权，本章程另有规定或者股东会决议决定股东享有优先认购权的除外。</w:t>
            </w:r>
          </w:p>
        </w:tc>
      </w:tr>
      <w:tr w14:paraId="08964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6732FFB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第二百零五条  公司因下列原因解散：</w:t>
            </w:r>
          </w:p>
          <w:p w14:paraId="2B031C3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（一）本章程规定的营业期限届满或者本章程规定的其他解散事由出现；</w:t>
            </w:r>
          </w:p>
          <w:p w14:paraId="4935A42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决议解散；</w:t>
            </w:r>
          </w:p>
          <w:p w14:paraId="0DCFDEA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（三）因公司合并或者分立需要解散；</w:t>
            </w:r>
          </w:p>
          <w:p w14:paraId="4D994C65">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（四）依法被吊销营业执照、责令关闭或者被撤销；</w:t>
            </w:r>
          </w:p>
          <w:p w14:paraId="79D5813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（五）公司经营管理发生严重困难，继续存续会使股东利益受到重大损失，通过其他途径不能解决的，持有公司全部股东表决权</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%以上的股东，可以请求人民法院解散公司。</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12C21B9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第一百八十八条  公司因下列原因解散：</w:t>
            </w:r>
          </w:p>
          <w:p w14:paraId="5D19310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（一）本章程规定的营业期限届满或者本章程规定的其他解散事由出现；</w:t>
            </w:r>
          </w:p>
          <w:p w14:paraId="2474DE0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决议解散；</w:t>
            </w:r>
          </w:p>
          <w:p w14:paraId="65A899E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（三）因公司合并或者分立需要解散；</w:t>
            </w:r>
          </w:p>
          <w:p w14:paraId="5F204D8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（四）依法被吊销营业执照、责令关闭或者被撤销；</w:t>
            </w:r>
          </w:p>
          <w:p w14:paraId="759C361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（五）公司经营管理发生严重困难，继续存续会使股东利益受到重大损失，通过其他途径不能解决的，持有公司全部股东表决权</w:t>
            </w:r>
            <w:r>
              <w:rPr>
                <w:rFonts w:hint="default" w:ascii="Times New Roman" w:hAnsi="Times New Roman" w:cs="Times New Roman"/>
                <w:b w:val="0"/>
                <w:bCs w:val="0"/>
                <w:color w:val="000000"/>
                <w:sz w:val="21"/>
                <w:szCs w:val="21"/>
              </w:rPr>
              <w:t>10</w:t>
            </w:r>
            <w:r>
              <w:rPr>
                <w:rFonts w:hint="eastAsia" w:ascii="Times New Roman" w:hAnsi="Times New Roman" w:cs="Times New Roman"/>
                <w:b w:val="0"/>
                <w:bCs w:val="0"/>
                <w:color w:val="000000"/>
                <w:sz w:val="21"/>
                <w:szCs w:val="21"/>
              </w:rPr>
              <w:t>%以上的股东，可以请求人民法院解散公司。</w:t>
            </w:r>
          </w:p>
          <w:p w14:paraId="5770BC0A">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公司出现前款规定的解散事由，应当在十日内将解散事由通过国家企业信用信息公示系统予以公示。</w:t>
            </w:r>
          </w:p>
        </w:tc>
      </w:tr>
      <w:tr w14:paraId="637C7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4C20C5B1">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第二百零七条  公司因本章程</w:t>
            </w:r>
            <w:r>
              <w:rPr>
                <w:rFonts w:hint="eastAsia" w:ascii="Times New Roman" w:hAnsi="Times New Roman" w:cs="Times New Roman"/>
                <w:b/>
                <w:bCs/>
                <w:strike/>
                <w:dstrike w:val="0"/>
                <w:color w:val="000000"/>
                <w:sz w:val="21"/>
                <w:szCs w:val="21"/>
              </w:rPr>
              <w:t>第二百零五条第（一）项、第（二）项、第（四）项、第（五）</w:t>
            </w:r>
            <w:r>
              <w:rPr>
                <w:rFonts w:hint="eastAsia" w:ascii="Times New Roman" w:hAnsi="Times New Roman" w:cs="Times New Roman"/>
                <w:b w:val="0"/>
                <w:bCs w:val="0"/>
                <w:color w:val="000000"/>
                <w:sz w:val="21"/>
                <w:szCs w:val="21"/>
              </w:rPr>
              <w:t>项规定而解散的，应当在解散事由出现之日起</w:t>
            </w:r>
            <w:r>
              <w:rPr>
                <w:rFonts w:hint="default" w:ascii="Times New Roman" w:hAnsi="Times New Roman" w:cs="Times New Roman"/>
                <w:b w:val="0"/>
                <w:bCs w:val="0"/>
                <w:color w:val="000000"/>
                <w:sz w:val="21"/>
                <w:szCs w:val="21"/>
              </w:rPr>
              <w:t>15</w:t>
            </w:r>
            <w:r>
              <w:rPr>
                <w:rFonts w:hint="eastAsia" w:ascii="Times New Roman" w:hAnsi="Times New Roman" w:cs="Times New Roman"/>
                <w:b w:val="0"/>
                <w:bCs w:val="0"/>
                <w:color w:val="000000"/>
                <w:sz w:val="21"/>
                <w:szCs w:val="21"/>
              </w:rPr>
              <w:t>日内成立清算组，开始清算。清算组由董事或者</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确定的人员组成。逾期不成立清算组进行清算的，债权人可以申请人民法院指定有关人员组成清算组进行清算。</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2DCCCA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第一百九十条  公司因本章程</w:t>
            </w:r>
            <w:r>
              <w:rPr>
                <w:rFonts w:hint="eastAsia" w:ascii="Times New Roman" w:hAnsi="Times New Roman" w:cs="Times New Roman"/>
                <w:b/>
                <w:bCs/>
                <w:color w:val="auto"/>
                <w:sz w:val="21"/>
                <w:szCs w:val="21"/>
              </w:rPr>
              <w:t>第一百八十八条</w:t>
            </w:r>
            <w:r>
              <w:rPr>
                <w:rFonts w:hint="eastAsia" w:ascii="Times New Roman" w:hAnsi="Times New Roman" w:cs="Times New Roman"/>
                <w:b w:val="0"/>
                <w:bCs w:val="0"/>
                <w:color w:val="000000"/>
                <w:sz w:val="21"/>
                <w:szCs w:val="21"/>
              </w:rPr>
              <w:t>第（一）项、第（二）项、第（四）项、第（五）项规定而解散的，应当</w:t>
            </w:r>
            <w:r>
              <w:rPr>
                <w:rFonts w:hint="eastAsia" w:ascii="Times New Roman" w:hAnsi="Times New Roman" w:cs="Times New Roman"/>
                <w:b/>
                <w:bCs/>
                <w:color w:val="000000"/>
                <w:sz w:val="21"/>
                <w:szCs w:val="21"/>
              </w:rPr>
              <w:t>清算。董事为公司清算义务人，应当</w:t>
            </w:r>
            <w:r>
              <w:rPr>
                <w:rFonts w:hint="eastAsia" w:ascii="Times New Roman" w:hAnsi="Times New Roman" w:cs="Times New Roman"/>
                <w:b w:val="0"/>
                <w:bCs w:val="0"/>
                <w:color w:val="000000"/>
                <w:sz w:val="21"/>
                <w:szCs w:val="21"/>
              </w:rPr>
              <w:t>在解散事由出现之日起</w:t>
            </w:r>
            <w:r>
              <w:rPr>
                <w:rFonts w:hint="default" w:ascii="Times New Roman" w:hAnsi="Times New Roman" w:cs="Times New Roman"/>
                <w:b w:val="0"/>
                <w:bCs w:val="0"/>
                <w:color w:val="000000"/>
                <w:sz w:val="21"/>
                <w:szCs w:val="21"/>
              </w:rPr>
              <w:t>15</w:t>
            </w:r>
            <w:r>
              <w:rPr>
                <w:rFonts w:hint="eastAsia" w:ascii="Times New Roman" w:hAnsi="Times New Roman" w:cs="Times New Roman"/>
                <w:b w:val="0"/>
                <w:bCs w:val="0"/>
                <w:color w:val="000000"/>
                <w:sz w:val="21"/>
                <w:szCs w:val="21"/>
              </w:rPr>
              <w:t>日内成立清算组，开始清算。清算组由董事或者</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确定的人员组成。逾期不成立清算组进行清算的，债权人可以申请人民法院指定有关人员组成清算组进行清算。</w:t>
            </w:r>
          </w:p>
          <w:p w14:paraId="0417D2FD">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color w:val="auto"/>
                <w:sz w:val="21"/>
                <w:szCs w:val="21"/>
              </w:rPr>
              <w:t>清算义务人未及时履行清算义务，给公司或者债权人造成损失的，应当承担赔偿责任。</w:t>
            </w:r>
          </w:p>
        </w:tc>
      </w:tr>
      <w:tr w14:paraId="5642D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51A7F7C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第二百一十一条  清算组在清理公司财产、编制资产负债表和财产清单后，发现公司财产不足清偿债务的，应当依法向人民法院申请</w:t>
            </w:r>
            <w:r>
              <w:rPr>
                <w:rFonts w:hint="eastAsia" w:ascii="Times New Roman" w:hAnsi="Times New Roman" w:cs="Times New Roman"/>
                <w:b/>
                <w:bCs/>
                <w:strike/>
                <w:dstrike w:val="0"/>
                <w:color w:val="000000"/>
                <w:sz w:val="21"/>
                <w:szCs w:val="21"/>
              </w:rPr>
              <w:t>宣告</w:t>
            </w:r>
            <w:r>
              <w:rPr>
                <w:rFonts w:hint="eastAsia" w:ascii="Times New Roman" w:hAnsi="Times New Roman" w:cs="Times New Roman"/>
                <w:b/>
                <w:bCs/>
                <w:color w:val="000000"/>
                <w:sz w:val="21"/>
                <w:szCs w:val="21"/>
              </w:rPr>
              <w:t>破产</w:t>
            </w:r>
            <w:r>
              <w:rPr>
                <w:rFonts w:hint="eastAsia" w:ascii="Times New Roman" w:hAnsi="Times New Roman" w:cs="Times New Roman"/>
                <w:b w:val="0"/>
                <w:bCs w:val="0"/>
                <w:color w:val="000000"/>
                <w:sz w:val="21"/>
                <w:szCs w:val="21"/>
              </w:rPr>
              <w:t>。</w:t>
            </w:r>
          </w:p>
          <w:p w14:paraId="78258EE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bCs/>
                <w:strike/>
                <w:dstrike w:val="0"/>
                <w:color w:val="000000"/>
                <w:sz w:val="21"/>
                <w:szCs w:val="21"/>
              </w:rPr>
              <w:t>公司经</w:t>
            </w:r>
            <w:r>
              <w:rPr>
                <w:rFonts w:hint="eastAsia" w:ascii="Times New Roman" w:hAnsi="Times New Roman" w:cs="Times New Roman"/>
                <w:b w:val="0"/>
                <w:bCs w:val="0"/>
                <w:color w:val="000000"/>
                <w:sz w:val="21"/>
                <w:szCs w:val="21"/>
              </w:rPr>
              <w:t>人民法院裁定宣告破产后，清算组应当将清算事务移交给人民法院。</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38A5B1F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第一百九十四条  清算组在清理公司财产、编制资产负债表和财产清单后，发现公司财产不足清偿债务的，应当依法向人民法院申请破产</w:t>
            </w:r>
            <w:r>
              <w:rPr>
                <w:rFonts w:hint="eastAsia" w:cs="Times New Roman"/>
                <w:b/>
                <w:bCs/>
                <w:color w:val="000000"/>
                <w:sz w:val="21"/>
                <w:szCs w:val="21"/>
                <w:lang w:val="en-US" w:eastAsia="zh-CN"/>
              </w:rPr>
              <w:t>清算</w:t>
            </w:r>
            <w:r>
              <w:rPr>
                <w:rFonts w:hint="eastAsia" w:ascii="Times New Roman" w:hAnsi="Times New Roman" w:cs="Times New Roman"/>
                <w:b w:val="0"/>
                <w:bCs w:val="0"/>
                <w:color w:val="000000"/>
                <w:sz w:val="21"/>
                <w:szCs w:val="21"/>
              </w:rPr>
              <w:t>。</w:t>
            </w:r>
          </w:p>
          <w:p w14:paraId="11C577A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人民法院</w:t>
            </w:r>
            <w:r>
              <w:rPr>
                <w:rFonts w:hint="eastAsia" w:ascii="Times New Roman" w:hAnsi="Times New Roman" w:cs="Times New Roman"/>
                <w:b/>
                <w:bCs/>
                <w:color w:val="auto"/>
                <w:sz w:val="21"/>
                <w:szCs w:val="21"/>
              </w:rPr>
              <w:t>受理</w:t>
            </w:r>
            <w:r>
              <w:rPr>
                <w:rFonts w:hint="eastAsia" w:ascii="Times New Roman" w:hAnsi="Times New Roman" w:cs="Times New Roman"/>
                <w:b w:val="0"/>
                <w:bCs w:val="0"/>
                <w:color w:val="000000"/>
                <w:sz w:val="21"/>
                <w:szCs w:val="21"/>
              </w:rPr>
              <w:t>破产</w:t>
            </w:r>
            <w:r>
              <w:rPr>
                <w:rFonts w:hint="eastAsia" w:ascii="Times New Roman" w:hAnsi="Times New Roman" w:cs="Times New Roman"/>
                <w:b/>
                <w:bCs/>
                <w:color w:val="auto"/>
                <w:sz w:val="21"/>
                <w:szCs w:val="21"/>
              </w:rPr>
              <w:t>申请</w:t>
            </w:r>
            <w:r>
              <w:rPr>
                <w:rFonts w:hint="eastAsia" w:ascii="Times New Roman" w:hAnsi="Times New Roman" w:cs="Times New Roman"/>
                <w:b w:val="0"/>
                <w:bCs w:val="0"/>
                <w:color w:val="000000"/>
                <w:sz w:val="21"/>
                <w:szCs w:val="21"/>
              </w:rPr>
              <w:t>后，清算组应当将清算事务移交给人民法院</w:t>
            </w:r>
            <w:r>
              <w:rPr>
                <w:rFonts w:hint="eastAsia" w:ascii="Times New Roman" w:hAnsi="Times New Roman" w:cs="Times New Roman"/>
                <w:b/>
                <w:bCs/>
                <w:color w:val="auto"/>
                <w:sz w:val="21"/>
                <w:szCs w:val="21"/>
              </w:rPr>
              <w:t>指定的破产管理人</w:t>
            </w:r>
            <w:r>
              <w:rPr>
                <w:rFonts w:hint="eastAsia" w:ascii="Times New Roman" w:hAnsi="Times New Roman" w:cs="Times New Roman"/>
                <w:b w:val="0"/>
                <w:bCs w:val="0"/>
                <w:color w:val="000000"/>
                <w:sz w:val="21"/>
                <w:szCs w:val="21"/>
              </w:rPr>
              <w:t>。</w:t>
            </w:r>
          </w:p>
        </w:tc>
      </w:tr>
      <w:tr w14:paraId="2FC9B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FCB392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第二百一十三条  清算组成员应当忠于职守，依法履行清算义务。</w:t>
            </w:r>
          </w:p>
          <w:p w14:paraId="1CF979B8">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清算组成员不得利用职权收受贿赂或者其他非法收入，不得侵占公司财产。</w:t>
            </w:r>
          </w:p>
          <w:p w14:paraId="469808A4">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清算组成员因故意或者重大过失给公司或者债权人造成损失的，应当承担赔偿责任。</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73C1452F">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第一百九十六条  清算组成员</w:t>
            </w:r>
            <w:r>
              <w:rPr>
                <w:rFonts w:hint="eastAsia" w:ascii="Times New Roman" w:hAnsi="Times New Roman" w:cs="Times New Roman"/>
                <w:b/>
                <w:bCs/>
                <w:color w:val="auto"/>
                <w:sz w:val="21"/>
                <w:szCs w:val="21"/>
              </w:rPr>
              <w:t>负有忠实义务和勤勉义务</w:t>
            </w:r>
            <w:r>
              <w:rPr>
                <w:rFonts w:hint="eastAsia" w:ascii="Times New Roman" w:hAnsi="Times New Roman" w:cs="Times New Roman"/>
                <w:b w:val="0"/>
                <w:bCs w:val="0"/>
                <w:color w:val="000000"/>
                <w:sz w:val="21"/>
                <w:szCs w:val="21"/>
              </w:rPr>
              <w:t>，依法履行清算义务。</w:t>
            </w:r>
          </w:p>
          <w:p w14:paraId="12E56F7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2" w:firstLineChars="200"/>
              <w:jc w:val="both"/>
              <w:textAlignment w:val="auto"/>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清算组成员怠于履行清算职责，给公司造成损失的，应当承担赔偿责任。</w:t>
            </w:r>
          </w:p>
          <w:p w14:paraId="1F6CD4C0">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清算组成员不得利用职权收受贿赂或者其他非法收入，不得侵占公司财产。</w:t>
            </w:r>
          </w:p>
          <w:p w14:paraId="09C6FB2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清算组成员因故意或者重大过失给公司或者债权人造成损失的，应当承担赔偿责任。</w:t>
            </w:r>
          </w:p>
        </w:tc>
      </w:tr>
      <w:tr w14:paraId="31CE9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624" w:type="dxa"/>
            <w:gridSpan w:val="3"/>
            <w:tcBorders>
              <w:top w:val="single" w:color="000000" w:sz="4" w:space="0"/>
              <w:left w:val="single" w:color="000000" w:sz="12" w:space="0"/>
              <w:bottom w:val="single" w:color="000000" w:sz="4" w:space="0"/>
              <w:right w:val="single" w:color="000000" w:sz="12" w:space="0"/>
            </w:tcBorders>
            <w:shd w:val="clear" w:color="auto" w:fill="FFFFFF"/>
            <w:vAlign w:val="center"/>
          </w:tcPr>
          <w:p w14:paraId="2CBC9A9B">
            <w:pPr>
              <w:pStyle w:val="2"/>
              <w:keepNext w:val="0"/>
              <w:keepLines w:val="0"/>
              <w:pageBreakBefore w:val="0"/>
              <w:widowControl w:val="0"/>
              <w:kinsoku/>
              <w:wordWrap/>
              <w:overflowPunct/>
              <w:topLinePunct w:val="0"/>
              <w:autoSpaceDE/>
              <w:autoSpaceDN/>
              <w:bidi w:val="0"/>
              <w:spacing w:line="240" w:lineRule="auto"/>
              <w:ind w:left="0" w:leftChars="0" w:right="0"/>
              <w:jc w:val="center"/>
              <w:textAlignment w:val="auto"/>
              <w:rPr>
                <w:rFonts w:ascii="Times New Roman" w:hAnsi="Times New Roman" w:cs="Times New Roman"/>
                <w:b w:val="0"/>
                <w:bCs w:val="0"/>
                <w:color w:val="000000"/>
                <w:sz w:val="21"/>
                <w:szCs w:val="21"/>
              </w:rPr>
            </w:pPr>
            <w:bookmarkStart w:id="29" w:name="_Toc312"/>
            <w:bookmarkStart w:id="30" w:name="_Toc6321112"/>
            <w:bookmarkStart w:id="31" w:name="_Toc6320755"/>
            <w:bookmarkStart w:id="32" w:name="_Toc6320720"/>
            <w:r>
              <w:rPr>
                <w:rFonts w:ascii="Times New Roman" w:hAnsi="Times New Roman" w:cs="Times New Roman"/>
                <w:sz w:val="21"/>
                <w:szCs w:val="21"/>
              </w:rPr>
              <w:t>第十</w:t>
            </w:r>
            <w:r>
              <w:rPr>
                <w:rFonts w:hint="eastAsia" w:cs="Times New Roman"/>
                <w:sz w:val="21"/>
                <w:szCs w:val="21"/>
                <w:lang w:val="en-US" w:eastAsia="zh-CN"/>
              </w:rPr>
              <w:t>一</w:t>
            </w:r>
            <w:r>
              <w:rPr>
                <w:rFonts w:ascii="Times New Roman" w:hAnsi="Times New Roman" w:cs="Times New Roman"/>
                <w:sz w:val="21"/>
                <w:szCs w:val="21"/>
              </w:rPr>
              <w:t>章</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附则</w:t>
            </w:r>
            <w:bookmarkEnd w:id="29"/>
            <w:bookmarkEnd w:id="30"/>
            <w:bookmarkEnd w:id="31"/>
            <w:bookmarkEnd w:id="32"/>
          </w:p>
        </w:tc>
      </w:tr>
      <w:tr w14:paraId="1D45C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3D47032B">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第二百一十九条  释义</w:t>
            </w:r>
          </w:p>
          <w:p w14:paraId="30F4981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（一）控股股东，是指其持有的股份占公司股本总额</w:t>
            </w:r>
            <w:r>
              <w:rPr>
                <w:rFonts w:hint="default" w:ascii="Times New Roman" w:hAnsi="Times New Roman" w:cs="Times New Roman"/>
                <w:b w:val="0"/>
                <w:bCs w:val="0"/>
                <w:color w:val="000000"/>
                <w:sz w:val="21"/>
                <w:szCs w:val="21"/>
              </w:rPr>
              <w:t>50</w:t>
            </w:r>
            <w:r>
              <w:rPr>
                <w:rFonts w:hint="eastAsia" w:ascii="Times New Roman" w:hAnsi="Times New Roman" w:cs="Times New Roman"/>
                <w:b w:val="0"/>
                <w:bCs w:val="0"/>
                <w:color w:val="000000"/>
                <w:sz w:val="21"/>
                <w:szCs w:val="21"/>
              </w:rPr>
              <w:t>%以上的股东；持有股份的比例虽然不足</w:t>
            </w:r>
            <w:r>
              <w:rPr>
                <w:rFonts w:hint="default" w:ascii="Times New Roman" w:hAnsi="Times New Roman" w:cs="Times New Roman"/>
                <w:b w:val="0"/>
                <w:bCs w:val="0"/>
                <w:color w:val="000000"/>
                <w:sz w:val="21"/>
                <w:szCs w:val="21"/>
              </w:rPr>
              <w:t>50</w:t>
            </w:r>
            <w:r>
              <w:rPr>
                <w:rFonts w:hint="eastAsia" w:ascii="Times New Roman" w:hAnsi="Times New Roman" w:cs="Times New Roman"/>
                <w:b w:val="0"/>
                <w:bCs w:val="0"/>
                <w:color w:val="000000"/>
                <w:sz w:val="21"/>
                <w:szCs w:val="21"/>
              </w:rPr>
              <w:t>%，但依其持有的股份所享有的表决权已足以对</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的决议产生重大影响的股东。</w:t>
            </w:r>
          </w:p>
          <w:p w14:paraId="500C3157">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（二）实际控制人，是指</w:t>
            </w:r>
            <w:r>
              <w:rPr>
                <w:rFonts w:hint="eastAsia" w:ascii="Times New Roman" w:hAnsi="Times New Roman" w:cs="Times New Roman"/>
                <w:b/>
                <w:bCs/>
                <w:strike/>
                <w:dstrike w:val="0"/>
                <w:color w:val="000000"/>
                <w:sz w:val="21"/>
                <w:szCs w:val="21"/>
              </w:rPr>
              <w:t>虽不是公司的股东，但</w:t>
            </w:r>
            <w:r>
              <w:rPr>
                <w:rFonts w:hint="eastAsia" w:ascii="Times New Roman" w:hAnsi="Times New Roman" w:cs="Times New Roman"/>
                <w:b w:val="0"/>
                <w:bCs w:val="0"/>
                <w:color w:val="000000"/>
                <w:sz w:val="21"/>
                <w:szCs w:val="21"/>
              </w:rPr>
              <w:t>通过投资关系、协议或者其他安排，能够实际支配公司行为的人。</w:t>
            </w:r>
          </w:p>
          <w:p w14:paraId="287E713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6F88C8F3">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w:t>
            </w:r>
            <w:r>
              <w:rPr>
                <w:rFonts w:hint="eastAsia" w:cs="Times New Roman"/>
                <w:b w:val="0"/>
                <w:bCs w:val="0"/>
                <w:color w:val="000000"/>
                <w:sz w:val="21"/>
                <w:szCs w:val="21"/>
                <w:lang w:val="en-US" w:eastAsia="zh-CN"/>
              </w:rPr>
              <w:t>零</w:t>
            </w:r>
            <w:r>
              <w:rPr>
                <w:rFonts w:hint="eastAsia" w:ascii="Times New Roman" w:hAnsi="Times New Roman" w:cs="Times New Roman"/>
                <w:b w:val="0"/>
                <w:bCs w:val="0"/>
                <w:color w:val="000000"/>
                <w:sz w:val="21"/>
                <w:szCs w:val="21"/>
              </w:rPr>
              <w:t>二条  释义</w:t>
            </w:r>
          </w:p>
          <w:p w14:paraId="63F609DE">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（一）控股股东，是指其持有的股份占公司股本总额</w:t>
            </w:r>
            <w:r>
              <w:rPr>
                <w:rFonts w:hint="default" w:ascii="Times New Roman" w:hAnsi="Times New Roman" w:cs="Times New Roman"/>
                <w:b w:val="0"/>
                <w:bCs w:val="0"/>
                <w:color w:val="000000"/>
                <w:sz w:val="21"/>
                <w:szCs w:val="21"/>
              </w:rPr>
              <w:t>50</w:t>
            </w:r>
            <w:r>
              <w:rPr>
                <w:rFonts w:hint="eastAsia" w:ascii="Times New Roman" w:hAnsi="Times New Roman" w:cs="Times New Roman"/>
                <w:b w:val="0"/>
                <w:bCs w:val="0"/>
                <w:color w:val="000000"/>
                <w:sz w:val="21"/>
                <w:szCs w:val="21"/>
              </w:rPr>
              <w:t>%以上的股东；</w:t>
            </w:r>
            <w:r>
              <w:rPr>
                <w:rFonts w:hint="eastAsia" w:ascii="Times New Roman" w:hAnsi="Times New Roman" w:cs="Times New Roman"/>
                <w:b/>
                <w:bCs/>
                <w:color w:val="auto"/>
                <w:sz w:val="21"/>
                <w:szCs w:val="21"/>
              </w:rPr>
              <w:t>或者</w:t>
            </w:r>
            <w:r>
              <w:rPr>
                <w:rFonts w:hint="eastAsia" w:ascii="Times New Roman" w:hAnsi="Times New Roman" w:cs="Times New Roman"/>
                <w:b w:val="0"/>
                <w:bCs w:val="0"/>
                <w:color w:val="000000"/>
                <w:sz w:val="21"/>
                <w:szCs w:val="21"/>
              </w:rPr>
              <w:t>持有股份的比例虽然</w:t>
            </w:r>
            <w:r>
              <w:rPr>
                <w:rFonts w:hint="eastAsia" w:ascii="Times New Roman" w:hAnsi="Times New Roman" w:cs="Times New Roman"/>
                <w:b/>
                <w:bCs/>
                <w:color w:val="auto"/>
                <w:sz w:val="21"/>
                <w:szCs w:val="21"/>
              </w:rPr>
              <w:t>未超过</w:t>
            </w:r>
            <w:r>
              <w:rPr>
                <w:rFonts w:hint="default" w:ascii="Times New Roman" w:hAnsi="Times New Roman" w:cs="Times New Roman"/>
                <w:b w:val="0"/>
                <w:bCs w:val="0"/>
                <w:color w:val="000000"/>
                <w:sz w:val="21"/>
                <w:szCs w:val="21"/>
              </w:rPr>
              <w:t>50</w:t>
            </w:r>
            <w:r>
              <w:rPr>
                <w:rFonts w:hint="eastAsia" w:ascii="Times New Roman" w:hAnsi="Times New Roman" w:cs="Times New Roman"/>
                <w:b w:val="0"/>
                <w:bCs w:val="0"/>
                <w:color w:val="000000"/>
                <w:sz w:val="21"/>
                <w:szCs w:val="21"/>
              </w:rPr>
              <w:t>%，但其持有的股份所享有的表决权已足以对</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的决议产生重大影响的股东。</w:t>
            </w:r>
          </w:p>
          <w:p w14:paraId="5BD74E7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（二）实际控制人，是指通过投资关系、协议或者其他安排，能够实际支配公司行为的</w:t>
            </w:r>
            <w:r>
              <w:rPr>
                <w:rFonts w:hint="eastAsia" w:ascii="Times New Roman" w:hAnsi="Times New Roman" w:cs="Times New Roman"/>
                <w:b/>
                <w:bCs/>
                <w:color w:val="auto"/>
                <w:sz w:val="21"/>
                <w:szCs w:val="21"/>
              </w:rPr>
              <w:t>自然人、法人或者其他组织</w:t>
            </w:r>
            <w:r>
              <w:rPr>
                <w:rFonts w:hint="eastAsia" w:ascii="Times New Roman" w:hAnsi="Times New Roman" w:cs="Times New Roman"/>
                <w:b w:val="0"/>
                <w:bCs w:val="0"/>
                <w:color w:val="000000"/>
                <w:sz w:val="21"/>
                <w:szCs w:val="21"/>
              </w:rPr>
              <w:t>。</w:t>
            </w:r>
          </w:p>
          <w:p w14:paraId="0FC81209">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firstLine="420" w:firstLineChars="200"/>
              <w:jc w:val="both"/>
              <w:textAlignment w:val="auto"/>
              <w:rPr>
                <w:rFonts w:hint="eastAsia"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w:t>
            </w:r>
          </w:p>
        </w:tc>
      </w:tr>
      <w:tr w14:paraId="6254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4289" w:type="dxa"/>
            <w:gridSpan w:val="2"/>
            <w:tcBorders>
              <w:top w:val="single" w:color="000000" w:sz="4" w:space="0"/>
              <w:left w:val="single" w:color="000000" w:sz="12" w:space="0"/>
              <w:bottom w:val="single" w:color="000000" w:sz="4" w:space="0"/>
              <w:right w:val="single" w:color="000000" w:sz="4" w:space="0"/>
            </w:tcBorders>
            <w:shd w:val="clear" w:color="auto" w:fill="FFFFFF"/>
          </w:tcPr>
          <w:p w14:paraId="2816B01C">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第二百二十四条  本章程附件包括《</w:t>
            </w:r>
            <w:r>
              <w:rPr>
                <w:rFonts w:hint="eastAsia" w:ascii="Times New Roman" w:hAnsi="Times New Roman" w:cs="Times New Roman"/>
                <w:b/>
                <w:bCs/>
                <w:color w:val="000000"/>
                <w:sz w:val="21"/>
                <w:szCs w:val="21"/>
              </w:rPr>
              <w:t>股东</w:t>
            </w:r>
            <w:r>
              <w:rPr>
                <w:rFonts w:hint="eastAsia" w:ascii="Times New Roman" w:hAnsi="Times New Roman" w:cs="Times New Roman"/>
                <w:b/>
                <w:bCs/>
                <w:strike/>
                <w:dstrike w:val="0"/>
                <w:color w:val="000000"/>
                <w:sz w:val="21"/>
                <w:szCs w:val="21"/>
              </w:rPr>
              <w:t>大</w:t>
            </w:r>
            <w:r>
              <w:rPr>
                <w:rFonts w:hint="eastAsia" w:ascii="Times New Roman" w:hAnsi="Times New Roman" w:cs="Times New Roman"/>
                <w:b/>
                <w:bCs/>
                <w:color w:val="000000"/>
                <w:sz w:val="21"/>
                <w:szCs w:val="21"/>
              </w:rPr>
              <w:t>会</w:t>
            </w:r>
            <w:r>
              <w:rPr>
                <w:rFonts w:hint="eastAsia" w:ascii="Times New Roman" w:hAnsi="Times New Roman" w:cs="Times New Roman"/>
                <w:b w:val="0"/>
                <w:bCs w:val="0"/>
                <w:color w:val="000000"/>
                <w:sz w:val="21"/>
                <w:szCs w:val="21"/>
              </w:rPr>
              <w:t>议事规则》</w:t>
            </w:r>
            <w:r>
              <w:rPr>
                <w:rFonts w:hint="eastAsia" w:ascii="Times New Roman" w:hAnsi="Times New Roman" w:cs="Times New Roman"/>
                <w:b/>
                <w:bCs/>
                <w:strike/>
                <w:dstrike w:val="0"/>
                <w:color w:val="000000"/>
                <w:sz w:val="21"/>
                <w:szCs w:val="21"/>
              </w:rPr>
              <w:t>、</w:t>
            </w:r>
            <w:r>
              <w:rPr>
                <w:rFonts w:hint="eastAsia" w:ascii="Times New Roman" w:hAnsi="Times New Roman" w:cs="Times New Roman"/>
                <w:b w:val="0"/>
                <w:bCs w:val="0"/>
                <w:color w:val="000000"/>
                <w:sz w:val="21"/>
                <w:szCs w:val="21"/>
              </w:rPr>
              <w:t>《董事会议事规则》</w:t>
            </w:r>
            <w:r>
              <w:rPr>
                <w:rFonts w:hint="eastAsia" w:ascii="Times New Roman" w:hAnsi="Times New Roman" w:cs="Times New Roman"/>
                <w:b/>
                <w:bCs/>
                <w:strike/>
                <w:dstrike w:val="0"/>
                <w:color w:val="000000"/>
                <w:sz w:val="21"/>
                <w:szCs w:val="21"/>
              </w:rPr>
              <w:t>和《监事会议事规则》</w:t>
            </w:r>
            <w:r>
              <w:rPr>
                <w:rFonts w:hint="eastAsia" w:ascii="Times New Roman" w:hAnsi="Times New Roman" w:cs="Times New Roman"/>
                <w:b w:val="0"/>
                <w:bCs w:val="0"/>
                <w:color w:val="000000"/>
                <w:sz w:val="21"/>
                <w:szCs w:val="21"/>
              </w:rPr>
              <w:t>。</w:t>
            </w:r>
          </w:p>
        </w:tc>
        <w:tc>
          <w:tcPr>
            <w:tcW w:w="4335" w:type="dxa"/>
            <w:tcBorders>
              <w:top w:val="single" w:color="000000" w:sz="4" w:space="0"/>
              <w:left w:val="single" w:color="000000" w:sz="4" w:space="0"/>
              <w:bottom w:val="single" w:color="000000" w:sz="4" w:space="0"/>
              <w:right w:val="single" w:color="000000" w:sz="12" w:space="0"/>
            </w:tcBorders>
            <w:shd w:val="clear" w:color="auto" w:fill="FFFFFF"/>
          </w:tcPr>
          <w:p w14:paraId="474E1C86">
            <w:pPr>
              <w:keepNext w:val="0"/>
              <w:keepLines w:val="0"/>
              <w:pageBreakBefore w:val="0"/>
              <w:widowControl w:val="0"/>
              <w:kinsoku/>
              <w:wordWrap/>
              <w:overflowPunct/>
              <w:topLinePunct w:val="0"/>
              <w:autoSpaceDE/>
              <w:autoSpaceDN/>
              <w:bidi w:val="0"/>
              <w:adjustRightInd w:val="0"/>
              <w:snapToGrid w:val="0"/>
              <w:spacing w:beforeAutospacing="0" w:after="0" w:afterAutospacing="0" w:line="240" w:lineRule="auto"/>
              <w:ind w:left="0" w:leftChars="0" w:right="0"/>
              <w:jc w:val="both"/>
              <w:textAlignment w:val="auto"/>
              <w:rPr>
                <w:rFonts w:ascii="Times New Roman" w:hAnsi="Times New Roman" w:cs="Times New Roman"/>
                <w:b w:val="0"/>
                <w:bCs w:val="0"/>
                <w:color w:val="000000"/>
                <w:sz w:val="21"/>
                <w:szCs w:val="21"/>
              </w:rPr>
            </w:pPr>
            <w:r>
              <w:rPr>
                <w:rFonts w:hint="eastAsia" w:ascii="Times New Roman" w:hAnsi="Times New Roman" w:cs="Times New Roman"/>
                <w:b w:val="0"/>
                <w:bCs w:val="0"/>
                <w:color w:val="000000"/>
                <w:sz w:val="21"/>
                <w:szCs w:val="21"/>
              </w:rPr>
              <w:t>第二百</w:t>
            </w:r>
            <w:r>
              <w:rPr>
                <w:rFonts w:hint="eastAsia" w:cs="Times New Roman"/>
                <w:b w:val="0"/>
                <w:bCs w:val="0"/>
                <w:color w:val="000000"/>
                <w:sz w:val="21"/>
                <w:szCs w:val="21"/>
                <w:lang w:val="en-US" w:eastAsia="zh-CN"/>
              </w:rPr>
              <w:t>零</w:t>
            </w:r>
            <w:r>
              <w:rPr>
                <w:rFonts w:hint="eastAsia" w:ascii="Times New Roman" w:hAnsi="Times New Roman" w:cs="Times New Roman"/>
                <w:b w:val="0"/>
                <w:bCs w:val="0"/>
                <w:color w:val="000000"/>
                <w:sz w:val="21"/>
                <w:szCs w:val="21"/>
              </w:rPr>
              <w:t>七条  本章程附件包括《</w:t>
            </w:r>
            <w:r>
              <w:rPr>
                <w:rFonts w:hint="eastAsia" w:ascii="Times New Roman" w:hAnsi="Times New Roman" w:cs="Times New Roman"/>
                <w:b/>
                <w:bCs/>
                <w:color w:val="auto"/>
                <w:sz w:val="21"/>
                <w:szCs w:val="21"/>
              </w:rPr>
              <w:t>股东会</w:t>
            </w:r>
            <w:r>
              <w:rPr>
                <w:rFonts w:hint="eastAsia" w:ascii="Times New Roman" w:hAnsi="Times New Roman" w:cs="Times New Roman"/>
                <w:b w:val="0"/>
                <w:bCs w:val="0"/>
                <w:color w:val="000000"/>
                <w:sz w:val="21"/>
                <w:szCs w:val="21"/>
              </w:rPr>
              <w:t>议事规则》《董事会议事规则》。</w:t>
            </w:r>
          </w:p>
        </w:tc>
      </w:tr>
    </w:tbl>
    <w:p w14:paraId="7D2C1108">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before="157" w:beforeLines="50" w:after="157" w:afterLines="50" w:line="500" w:lineRule="exact"/>
        <w:ind w:firstLine="480" w:firstLineChars="200"/>
        <w:jc w:val="left"/>
        <w:textAlignment w:val="auto"/>
        <w:rPr>
          <w:rFonts w:hint="eastAsia"/>
          <w:b w:val="0"/>
          <w:bCs/>
          <w:sz w:val="24"/>
        </w:rPr>
      </w:pPr>
      <w:r>
        <w:rPr>
          <w:rFonts w:hint="eastAsia"/>
          <w:b w:val="0"/>
          <w:bCs/>
          <w:sz w:val="24"/>
        </w:rPr>
        <w:t>《公司章程》修订后将全文“股东大会”调整为“股东会”，删除监事会、监事相关规定，由</w:t>
      </w:r>
      <w:r>
        <w:rPr>
          <w:rFonts w:hint="eastAsia"/>
          <w:b w:val="0"/>
          <w:bCs/>
          <w:sz w:val="24"/>
          <w:lang w:val="en-US" w:eastAsia="zh-CN"/>
        </w:rPr>
        <w:t>董事会</w:t>
      </w:r>
      <w:r>
        <w:rPr>
          <w:rFonts w:hint="eastAsia"/>
          <w:b w:val="0"/>
          <w:bCs/>
          <w:sz w:val="24"/>
        </w:rPr>
        <w:t>审计委员会行使监事会</w:t>
      </w:r>
      <w:r>
        <w:rPr>
          <w:rFonts w:hint="eastAsia"/>
          <w:b w:val="0"/>
          <w:bCs/>
          <w:sz w:val="24"/>
          <w:lang w:val="en-US" w:eastAsia="zh-CN"/>
        </w:rPr>
        <w:t>的</w:t>
      </w:r>
      <w:r>
        <w:rPr>
          <w:rFonts w:hint="eastAsia"/>
          <w:b w:val="0"/>
          <w:bCs/>
          <w:sz w:val="24"/>
        </w:rPr>
        <w:t>职权，前述修订因所涉及条目</w:t>
      </w:r>
      <w:r>
        <w:rPr>
          <w:rFonts w:hint="eastAsia"/>
          <w:b w:val="0"/>
          <w:bCs/>
          <w:sz w:val="24"/>
          <w:lang w:val="en-US" w:eastAsia="zh-CN"/>
        </w:rPr>
        <w:t>较</w:t>
      </w:r>
      <w:r>
        <w:rPr>
          <w:rFonts w:hint="eastAsia"/>
          <w:b w:val="0"/>
          <w:bCs/>
          <w:sz w:val="24"/>
        </w:rPr>
        <w:t>多，若原章程中的相关条款仅涉及前述修订，在不涉及其他修订的情况下，不再逐项列示。</w:t>
      </w:r>
      <w:r>
        <w:rPr>
          <w:rFonts w:hint="eastAsia"/>
          <w:b w:val="0"/>
          <w:bCs/>
          <w:sz w:val="24"/>
          <w:lang w:val="en-US" w:eastAsia="zh-CN"/>
        </w:rPr>
        <w:t>此外，</w:t>
      </w:r>
      <w:r>
        <w:rPr>
          <w:rFonts w:hint="eastAsia"/>
          <w:b w:val="0"/>
          <w:bCs/>
          <w:sz w:val="24"/>
        </w:rPr>
        <w:t>条款编号、引用条款所涉及条款编号变化、标点的调整</w:t>
      </w:r>
      <w:r>
        <w:rPr>
          <w:rFonts w:hint="eastAsia"/>
          <w:b w:val="0"/>
          <w:bCs/>
          <w:sz w:val="24"/>
          <w:lang w:eastAsia="zh-CN"/>
        </w:rPr>
        <w:t>，</w:t>
      </w:r>
      <w:r>
        <w:rPr>
          <w:rFonts w:hint="eastAsia"/>
          <w:b w:val="0"/>
          <w:bCs/>
          <w:sz w:val="24"/>
          <w:lang w:val="en-US" w:eastAsia="zh-CN"/>
        </w:rPr>
        <w:t>以及根据《上市公司章程指引》要求对个别文字表述的调整</w:t>
      </w:r>
      <w:r>
        <w:rPr>
          <w:rFonts w:hint="eastAsia"/>
          <w:b w:val="0"/>
          <w:bCs/>
          <w:sz w:val="24"/>
        </w:rPr>
        <w:t>等，因不涉及权利义务实质性变更，不再逐条列示。除上述修订外，</w:t>
      </w:r>
      <w:r>
        <w:rPr>
          <w:rFonts w:hint="eastAsia"/>
          <w:b w:val="0"/>
          <w:bCs/>
          <w:sz w:val="24"/>
          <w:lang w:eastAsia="zh-CN"/>
        </w:rPr>
        <w:t>《</w:t>
      </w:r>
      <w:r>
        <w:rPr>
          <w:rFonts w:hint="eastAsia"/>
          <w:b w:val="0"/>
          <w:bCs/>
          <w:sz w:val="24"/>
          <w:lang w:val="en-US" w:eastAsia="zh-CN"/>
        </w:rPr>
        <w:t>公司章程</w:t>
      </w:r>
      <w:r>
        <w:rPr>
          <w:rFonts w:hint="eastAsia"/>
          <w:b w:val="0"/>
          <w:bCs/>
          <w:sz w:val="24"/>
          <w:lang w:eastAsia="zh-CN"/>
        </w:rPr>
        <w:t>》</w:t>
      </w:r>
      <w:r>
        <w:rPr>
          <w:rFonts w:hint="eastAsia"/>
          <w:b w:val="0"/>
          <w:bCs/>
          <w:sz w:val="24"/>
          <w:lang w:val="en-US" w:eastAsia="zh-CN"/>
        </w:rPr>
        <w:t>中其他条款不变，</w:t>
      </w:r>
      <w:r>
        <w:rPr>
          <w:rFonts w:hint="eastAsia"/>
          <w:b w:val="0"/>
          <w:bCs/>
          <w:sz w:val="24"/>
        </w:rPr>
        <w:t>相关修订最终以市场监督管理部门核准的内容为准。</w:t>
      </w:r>
    </w:p>
    <w:p w14:paraId="5A740FC3">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before="157" w:beforeLines="50" w:after="157" w:afterLines="50" w:line="500" w:lineRule="exact"/>
        <w:ind w:firstLine="480" w:firstLineChars="200"/>
        <w:jc w:val="left"/>
        <w:textAlignment w:val="auto"/>
        <w:rPr>
          <w:rFonts w:hint="eastAsia"/>
          <w:b w:val="0"/>
          <w:bCs/>
          <w:sz w:val="24"/>
        </w:rPr>
      </w:pPr>
      <w:r>
        <w:rPr>
          <w:rFonts w:hint="eastAsia"/>
          <w:b w:val="0"/>
          <w:bCs/>
          <w:sz w:val="24"/>
          <w:lang w:val="en-US" w:eastAsia="zh-CN"/>
        </w:rPr>
        <w:t>上述事项</w:t>
      </w:r>
      <w:r>
        <w:rPr>
          <w:rFonts w:hint="eastAsia"/>
          <w:b w:val="0"/>
          <w:bCs/>
          <w:sz w:val="24"/>
        </w:rPr>
        <w:t>尚需提请公司股东大会审议并经特别决议通过，同时提请</w:t>
      </w:r>
      <w:r>
        <w:rPr>
          <w:rFonts w:hint="eastAsia"/>
          <w:b w:val="0"/>
          <w:bCs w:val="0"/>
          <w:sz w:val="24"/>
        </w:rPr>
        <w:t>股东大会</w:t>
      </w:r>
      <w:r>
        <w:rPr>
          <w:rFonts w:hint="eastAsia"/>
          <w:b w:val="0"/>
          <w:bCs/>
          <w:sz w:val="24"/>
        </w:rPr>
        <w:t>授权</w:t>
      </w:r>
      <w:r>
        <w:rPr>
          <w:rFonts w:hint="eastAsia"/>
          <w:b w:val="0"/>
          <w:bCs/>
          <w:sz w:val="24"/>
          <w:highlight w:val="none"/>
        </w:rPr>
        <w:t>公司</w:t>
      </w:r>
      <w:r>
        <w:rPr>
          <w:rFonts w:hint="eastAsia"/>
          <w:b w:val="0"/>
          <w:bCs/>
          <w:sz w:val="24"/>
          <w:highlight w:val="none"/>
          <w:lang w:val="en-US" w:eastAsia="zh-CN"/>
        </w:rPr>
        <w:t>董事长</w:t>
      </w:r>
      <w:r>
        <w:rPr>
          <w:rFonts w:hint="eastAsia"/>
          <w:b w:val="0"/>
          <w:bCs/>
          <w:sz w:val="24"/>
          <w:highlight w:val="none"/>
        </w:rPr>
        <w:t>或董事长授权的相关部门人员具</w:t>
      </w:r>
      <w:r>
        <w:rPr>
          <w:rFonts w:hint="eastAsia"/>
          <w:b w:val="0"/>
          <w:bCs/>
          <w:sz w:val="24"/>
        </w:rPr>
        <w:t>体办理本次公司章程修订涉及的工商变更登记、公司章程备案并签署相关文件。</w:t>
      </w:r>
    </w:p>
    <w:p w14:paraId="19CC7AF6">
      <w:pPr>
        <w:keepNext w:val="0"/>
        <w:keepLines w:val="0"/>
        <w:pageBreakBefore w:val="0"/>
        <w:widowControl w:val="0"/>
        <w:numPr>
          <w:ilvl w:val="0"/>
          <w:numId w:val="1"/>
        </w:numPr>
        <w:tabs>
          <w:tab w:val="left" w:pos="993"/>
        </w:tabs>
        <w:kinsoku/>
        <w:wordWrap/>
        <w:overflowPunct/>
        <w:topLinePunct w:val="0"/>
        <w:autoSpaceDE w:val="0"/>
        <w:autoSpaceDN w:val="0"/>
        <w:bidi w:val="0"/>
        <w:adjustRightInd w:val="0"/>
        <w:snapToGrid/>
        <w:spacing w:before="157" w:beforeLines="50" w:after="157" w:afterLines="50" w:line="500" w:lineRule="exact"/>
        <w:ind w:left="0" w:leftChars="0" w:firstLine="420" w:firstLineChars="0"/>
        <w:jc w:val="left"/>
        <w:textAlignment w:val="auto"/>
        <w:rPr>
          <w:rFonts w:hint="eastAsia"/>
          <w:b/>
          <w:sz w:val="24"/>
        </w:rPr>
      </w:pPr>
      <w:r>
        <w:rPr>
          <w:rFonts w:hint="eastAsia"/>
          <w:b/>
          <w:sz w:val="24"/>
        </w:rPr>
        <w:t>修订</w:t>
      </w:r>
      <w:r>
        <w:rPr>
          <w:rFonts w:hint="eastAsia"/>
          <w:b/>
          <w:sz w:val="24"/>
          <w:lang w:val="en-US" w:eastAsia="zh-CN"/>
        </w:rPr>
        <w:t>公司</w:t>
      </w:r>
      <w:r>
        <w:rPr>
          <w:rFonts w:hint="eastAsia"/>
          <w:b/>
          <w:sz w:val="24"/>
        </w:rPr>
        <w:t>部分</w:t>
      </w:r>
      <w:r>
        <w:rPr>
          <w:rFonts w:hint="eastAsia"/>
          <w:b/>
          <w:sz w:val="24"/>
          <w:lang w:val="en-US" w:eastAsia="zh-CN"/>
        </w:rPr>
        <w:t>治理</w:t>
      </w:r>
      <w:r>
        <w:rPr>
          <w:rFonts w:hint="eastAsia"/>
          <w:b/>
          <w:sz w:val="24"/>
        </w:rPr>
        <w:t>制度的情况</w:t>
      </w:r>
    </w:p>
    <w:p w14:paraId="4EB033E2">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before="157" w:beforeLines="50" w:after="157" w:afterLines="50" w:line="500" w:lineRule="exact"/>
        <w:ind w:firstLine="480" w:firstLineChars="200"/>
        <w:jc w:val="left"/>
        <w:textAlignment w:val="auto"/>
        <w:rPr>
          <w:rFonts w:hint="eastAsia"/>
          <w:b w:val="0"/>
          <w:bCs/>
          <w:sz w:val="24"/>
        </w:rPr>
      </w:pPr>
      <w:r>
        <w:rPr>
          <w:rFonts w:hint="eastAsia"/>
          <w:b w:val="0"/>
          <w:bCs/>
          <w:sz w:val="24"/>
        </w:rPr>
        <w:t>为全面贯彻落实最新法律法规要求，确保公司治理与监管规定保持同步，进一步规范公司运作机制，提升公司治理水平，</w:t>
      </w:r>
      <w:r>
        <w:rPr>
          <w:rFonts w:hint="eastAsia"/>
          <w:b w:val="0"/>
          <w:bCs/>
          <w:sz w:val="24"/>
          <w:lang w:val="en-US" w:eastAsia="zh-CN"/>
        </w:rPr>
        <w:t>公司</w:t>
      </w:r>
      <w:r>
        <w:rPr>
          <w:rFonts w:hint="eastAsia"/>
          <w:b w:val="0"/>
          <w:bCs/>
          <w:sz w:val="24"/>
        </w:rPr>
        <w:t>根据《公司法》《上市公司章程指引》《深圳证券交易所创业板股票上市规则》《深圳证券交易所上市公司自律监管指引第</w:t>
      </w:r>
      <w:r>
        <w:rPr>
          <w:rFonts w:hint="default" w:ascii="Times New Roman" w:hAnsi="Times New Roman" w:cs="Times New Roman"/>
          <w:b w:val="0"/>
          <w:bCs/>
          <w:sz w:val="24"/>
        </w:rPr>
        <w:t>2</w:t>
      </w:r>
      <w:r>
        <w:rPr>
          <w:rFonts w:hint="eastAsia"/>
          <w:b w:val="0"/>
          <w:bCs/>
          <w:sz w:val="24"/>
        </w:rPr>
        <w:t>号——创业板上市公司规范运作》</w:t>
      </w:r>
      <w:r>
        <w:rPr>
          <w:rFonts w:hint="eastAsia"/>
          <w:sz w:val="24"/>
          <w:lang w:eastAsia="zh-CN"/>
        </w:rPr>
        <w:t>《</w:t>
      </w:r>
      <w:r>
        <w:rPr>
          <w:rFonts w:hint="eastAsia"/>
          <w:sz w:val="24"/>
          <w:lang w:val="en-US" w:eastAsia="zh-CN"/>
        </w:rPr>
        <w:t>股东会议事规则</w:t>
      </w:r>
      <w:r>
        <w:rPr>
          <w:rFonts w:hint="eastAsia"/>
          <w:sz w:val="24"/>
          <w:lang w:eastAsia="zh-CN"/>
        </w:rPr>
        <w:t>》《</w:t>
      </w:r>
      <w:r>
        <w:rPr>
          <w:rFonts w:hint="eastAsia"/>
          <w:sz w:val="24"/>
          <w:lang w:val="en-US" w:eastAsia="zh-CN"/>
        </w:rPr>
        <w:t>上市公司募集资金监管规则</w:t>
      </w:r>
      <w:r>
        <w:rPr>
          <w:rFonts w:hint="eastAsia"/>
          <w:sz w:val="24"/>
          <w:lang w:eastAsia="zh-CN"/>
        </w:rPr>
        <w:t>》</w:t>
      </w:r>
      <w:r>
        <w:rPr>
          <w:rFonts w:hint="eastAsia"/>
          <w:b w:val="0"/>
          <w:bCs/>
          <w:sz w:val="24"/>
        </w:rPr>
        <w:t>等最新法律法规、规范性文件</w:t>
      </w:r>
      <w:r>
        <w:rPr>
          <w:rFonts w:hint="eastAsia"/>
          <w:b w:val="0"/>
          <w:bCs/>
          <w:sz w:val="24"/>
          <w:lang w:val="en-US" w:eastAsia="zh-CN"/>
        </w:rPr>
        <w:t>及《公司章程》</w:t>
      </w:r>
      <w:r>
        <w:rPr>
          <w:rFonts w:hint="eastAsia"/>
          <w:b w:val="0"/>
          <w:bCs/>
          <w:sz w:val="24"/>
        </w:rPr>
        <w:t>的</w:t>
      </w:r>
      <w:r>
        <w:rPr>
          <w:rFonts w:hint="eastAsia"/>
          <w:b w:val="0"/>
          <w:bCs/>
          <w:sz w:val="24"/>
          <w:lang w:val="en-US" w:eastAsia="zh-CN"/>
        </w:rPr>
        <w:t>有关规定</w:t>
      </w:r>
      <w:r>
        <w:rPr>
          <w:rFonts w:hint="eastAsia"/>
          <w:b w:val="0"/>
          <w:bCs/>
          <w:sz w:val="24"/>
        </w:rPr>
        <w:t>，结合公司实际，对现行公司部分治理制度进行了修订和完善。具体情况如下：</w:t>
      </w:r>
    </w:p>
    <w:tbl>
      <w:tblPr>
        <w:tblStyle w:val="12"/>
        <w:tblW w:w="8019" w:type="dxa"/>
        <w:tblInd w:w="2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4086"/>
        <w:gridCol w:w="1389"/>
        <w:gridCol w:w="1689"/>
      </w:tblGrid>
      <w:tr w14:paraId="6228D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55" w:type="dxa"/>
            <w:tcBorders>
              <w:top w:val="single" w:color="000000" w:sz="12" w:space="0"/>
              <w:left w:val="single" w:color="000000" w:sz="12" w:space="0"/>
              <w:bottom w:val="single" w:color="000000" w:sz="4" w:space="0"/>
              <w:right w:val="single" w:color="000000" w:sz="4" w:space="0"/>
              <w:tl2br w:val="nil"/>
            </w:tcBorders>
            <w:shd w:val="clear" w:color="auto" w:fill="FFFFFF"/>
            <w:vAlign w:val="center"/>
          </w:tcPr>
          <w:p w14:paraId="53DB740E">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line="240" w:lineRule="auto"/>
              <w:jc w:val="center"/>
              <w:textAlignment w:val="auto"/>
              <w:rPr>
                <w:rFonts w:hint="eastAsia"/>
                <w:b w:val="0"/>
                <w:bCs/>
                <w:color w:val="000000"/>
                <w:sz w:val="24"/>
                <w:vertAlign w:val="baseline"/>
              </w:rPr>
            </w:pPr>
            <w:r>
              <w:rPr>
                <w:rFonts w:hint="eastAsia"/>
                <w:b/>
                <w:bCs/>
                <w:sz w:val="21"/>
                <w:szCs w:val="21"/>
                <w:lang w:val="en-US" w:eastAsia="zh-CN"/>
              </w:rPr>
              <w:t>序号</w:t>
            </w:r>
          </w:p>
        </w:tc>
        <w:tc>
          <w:tcPr>
            <w:tcW w:w="4086" w:type="dxa"/>
            <w:tcBorders>
              <w:top w:val="single" w:color="000000" w:sz="12" w:space="0"/>
              <w:left w:val="single" w:color="000000" w:sz="4" w:space="0"/>
              <w:bottom w:val="single" w:color="000000" w:sz="4" w:space="0"/>
              <w:right w:val="single" w:color="000000" w:sz="4" w:space="0"/>
            </w:tcBorders>
            <w:shd w:val="clear" w:color="auto" w:fill="FFFFFF"/>
            <w:vAlign w:val="center"/>
          </w:tcPr>
          <w:p w14:paraId="0222060F">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line="240" w:lineRule="auto"/>
              <w:jc w:val="center"/>
              <w:textAlignment w:val="auto"/>
              <w:rPr>
                <w:rFonts w:hint="eastAsia"/>
                <w:b w:val="0"/>
                <w:bCs/>
                <w:color w:val="000000"/>
                <w:sz w:val="24"/>
                <w:vertAlign w:val="baseline"/>
              </w:rPr>
            </w:pPr>
            <w:r>
              <w:rPr>
                <w:b/>
                <w:bCs/>
                <w:spacing w:val="-4"/>
                <w:sz w:val="21"/>
                <w:szCs w:val="21"/>
              </w:rPr>
              <w:t>制度名称</w:t>
            </w:r>
          </w:p>
        </w:tc>
        <w:tc>
          <w:tcPr>
            <w:tcW w:w="1389" w:type="dxa"/>
            <w:tcBorders>
              <w:top w:val="single" w:color="000000" w:sz="12" w:space="0"/>
              <w:left w:val="single" w:color="000000" w:sz="4" w:space="0"/>
              <w:bottom w:val="single" w:color="000000" w:sz="4" w:space="0"/>
              <w:right w:val="single" w:color="000000" w:sz="4" w:space="0"/>
            </w:tcBorders>
            <w:shd w:val="clear" w:color="auto" w:fill="FFFFFF"/>
            <w:vAlign w:val="center"/>
          </w:tcPr>
          <w:p w14:paraId="3B9E4434">
            <w:pPr>
              <w:pStyle w:val="25"/>
              <w:keepNext w:val="0"/>
              <w:keepLines w:val="0"/>
              <w:pageBreakBefore w:val="0"/>
              <w:widowControl w:val="0"/>
              <w:kinsoku/>
              <w:wordWrap/>
              <w:overflowPunct/>
              <w:topLinePunct w:val="0"/>
              <w:bidi w:val="0"/>
              <w:snapToGrid/>
              <w:spacing w:line="240" w:lineRule="auto"/>
              <w:ind w:right="0"/>
              <w:jc w:val="center"/>
              <w:textAlignment w:val="auto"/>
              <w:rPr>
                <w:rFonts w:hint="eastAsia"/>
                <w:b w:val="0"/>
                <w:bCs/>
                <w:color w:val="000000"/>
                <w:sz w:val="24"/>
                <w:vertAlign w:val="baseline"/>
              </w:rPr>
            </w:pPr>
            <w:r>
              <w:rPr>
                <w:b/>
                <w:bCs/>
                <w:spacing w:val="-6"/>
                <w:sz w:val="21"/>
                <w:szCs w:val="21"/>
              </w:rPr>
              <w:t>变更</w:t>
            </w:r>
            <w:r>
              <w:rPr>
                <w:b/>
                <w:bCs/>
                <w:spacing w:val="-5"/>
                <w:sz w:val="21"/>
                <w:szCs w:val="21"/>
              </w:rPr>
              <w:t>情况</w:t>
            </w:r>
          </w:p>
        </w:tc>
        <w:tc>
          <w:tcPr>
            <w:tcW w:w="1689" w:type="dxa"/>
            <w:tcBorders>
              <w:top w:val="single" w:color="000000" w:sz="12" w:space="0"/>
              <w:left w:val="single" w:color="000000" w:sz="4" w:space="0"/>
              <w:bottom w:val="single" w:color="000000" w:sz="4" w:space="0"/>
              <w:right w:val="single" w:color="000000" w:sz="4" w:space="0"/>
            </w:tcBorders>
            <w:shd w:val="clear" w:color="auto" w:fill="FFFFFF"/>
            <w:vAlign w:val="center"/>
          </w:tcPr>
          <w:p w14:paraId="6E291587">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line="240" w:lineRule="auto"/>
              <w:jc w:val="center"/>
              <w:textAlignment w:val="auto"/>
              <w:rPr>
                <w:rFonts w:hint="eastAsia"/>
                <w:b w:val="0"/>
                <w:bCs/>
                <w:color w:val="000000"/>
                <w:sz w:val="24"/>
                <w:vertAlign w:val="baseline"/>
              </w:rPr>
            </w:pPr>
            <w:r>
              <w:rPr>
                <w:b/>
                <w:bCs/>
                <w:spacing w:val="-4"/>
                <w:sz w:val="21"/>
                <w:szCs w:val="21"/>
              </w:rPr>
              <w:t>是否提交股东大会</w:t>
            </w:r>
            <w:r>
              <w:rPr>
                <w:b/>
                <w:bCs/>
                <w:spacing w:val="-6"/>
                <w:sz w:val="21"/>
                <w:szCs w:val="21"/>
              </w:rPr>
              <w:t>审议</w:t>
            </w:r>
          </w:p>
        </w:tc>
      </w:tr>
      <w:tr w14:paraId="395EF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13BDDF38">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1</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2359A">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b w:val="0"/>
                <w:bCs w:val="0"/>
                <w:spacing w:val="-2"/>
                <w:sz w:val="21"/>
                <w:szCs w:val="21"/>
              </w:rPr>
              <w:t>股东会</w:t>
            </w:r>
            <w:r>
              <w:rPr>
                <w:rFonts w:hint="default" w:ascii="Times New Roman" w:hAnsi="Times New Roman" w:cs="Times New Roman"/>
                <w:spacing w:val="-2"/>
                <w:sz w:val="21"/>
                <w:szCs w:val="21"/>
              </w:rPr>
              <w:t>网络投票管理制度</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C263">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329B">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是</w:t>
            </w:r>
          </w:p>
        </w:tc>
      </w:tr>
      <w:tr w14:paraId="2051E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630013C2">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2</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99816">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spacing w:val="-2"/>
                <w:kern w:val="2"/>
                <w:sz w:val="21"/>
                <w:szCs w:val="21"/>
                <w:lang w:val="en-US" w:eastAsia="en-US" w:bidi="ar-SA"/>
              </w:rPr>
            </w:pPr>
            <w:r>
              <w:rPr>
                <w:rFonts w:hint="default" w:ascii="Times New Roman" w:hAnsi="Times New Roman" w:cs="Times New Roman"/>
                <w:spacing w:val="-2"/>
                <w:sz w:val="21"/>
                <w:szCs w:val="21"/>
              </w:rPr>
              <w:t>独立董事工作细则</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2A67">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spacing w:val="-2"/>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2B525">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是</w:t>
            </w:r>
          </w:p>
        </w:tc>
      </w:tr>
      <w:tr w14:paraId="7C400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07255B27">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3</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DFED">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spacing w:val="-2"/>
                <w:kern w:val="2"/>
                <w:sz w:val="21"/>
                <w:szCs w:val="21"/>
                <w:lang w:val="en-US" w:eastAsia="en-US" w:bidi="ar-SA"/>
              </w:rPr>
            </w:pPr>
            <w:r>
              <w:rPr>
                <w:rFonts w:hint="default" w:ascii="Times New Roman" w:hAnsi="Times New Roman" w:cs="Times New Roman"/>
                <w:spacing w:val="-2"/>
                <w:sz w:val="21"/>
                <w:szCs w:val="21"/>
              </w:rPr>
              <w:t>累积投票制实施细则</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4C30">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spacing w:val="-2"/>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F0572">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是</w:t>
            </w:r>
          </w:p>
        </w:tc>
      </w:tr>
      <w:tr w14:paraId="7BDE5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795C6CEA">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4</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3DF7E">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spacing w:val="-2"/>
                <w:kern w:val="2"/>
                <w:sz w:val="21"/>
                <w:szCs w:val="21"/>
                <w:lang w:val="en-US" w:eastAsia="en-US" w:bidi="ar-SA"/>
              </w:rPr>
            </w:pPr>
            <w:r>
              <w:rPr>
                <w:rFonts w:hint="default" w:ascii="Times New Roman" w:hAnsi="Times New Roman" w:cs="Times New Roman"/>
                <w:spacing w:val="-2"/>
                <w:sz w:val="21"/>
                <w:szCs w:val="21"/>
              </w:rPr>
              <w:t>利润分配管理制度</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CF505">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spacing w:val="-2"/>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1552">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是</w:t>
            </w:r>
          </w:p>
        </w:tc>
      </w:tr>
      <w:tr w14:paraId="6F572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293F9CA8">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5</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C2D8">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关联交易管理办法</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16DD">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258AB">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是</w:t>
            </w:r>
          </w:p>
        </w:tc>
      </w:tr>
      <w:tr w14:paraId="7830F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2EE7FD7F">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6</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9407D">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1"/>
                <w:sz w:val="21"/>
                <w:szCs w:val="21"/>
              </w:rPr>
              <w:t>对外投资管理制度</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B6F4B">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171DF">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是</w:t>
            </w:r>
          </w:p>
        </w:tc>
      </w:tr>
      <w:tr w14:paraId="604E6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61D2E978">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7</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6CEF">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1"/>
                <w:sz w:val="21"/>
                <w:szCs w:val="21"/>
              </w:rPr>
              <w:t>对外担保管理制度</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7171">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D0174">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是</w:t>
            </w:r>
          </w:p>
        </w:tc>
      </w:tr>
      <w:tr w14:paraId="27069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7924D103">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8</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EEDF6">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1"/>
                <w:sz w:val="21"/>
                <w:szCs w:val="21"/>
              </w:rPr>
              <w:t>募集资金</w:t>
            </w:r>
            <w:r>
              <w:rPr>
                <w:rFonts w:hint="eastAsia" w:ascii="Times New Roman" w:hAnsi="Times New Roman" w:cs="Times New Roman"/>
                <w:spacing w:val="-1"/>
                <w:sz w:val="21"/>
                <w:szCs w:val="21"/>
                <w:lang w:val="en-US" w:eastAsia="zh-CN"/>
              </w:rPr>
              <w:t>使用</w:t>
            </w:r>
            <w:r>
              <w:rPr>
                <w:rFonts w:hint="default" w:ascii="Times New Roman" w:hAnsi="Times New Roman" w:cs="Times New Roman"/>
                <w:spacing w:val="-1"/>
                <w:sz w:val="21"/>
                <w:szCs w:val="21"/>
              </w:rPr>
              <w:t>管理制度</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70891">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80A33">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是</w:t>
            </w:r>
          </w:p>
        </w:tc>
      </w:tr>
      <w:tr w14:paraId="34CEE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1D4D8116">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9</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9B513">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eastAsia" w:ascii="Times New Roman" w:hAnsi="Times New Roman" w:cs="Times New Roman"/>
                <w:spacing w:val="-2"/>
                <w:sz w:val="21"/>
                <w:szCs w:val="21"/>
                <w:lang w:val="en-US" w:eastAsia="zh-CN"/>
              </w:rPr>
              <w:t>董事会战略委员会实施细则</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EDC66">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8A5C7">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否</w:t>
            </w:r>
          </w:p>
        </w:tc>
      </w:tr>
      <w:tr w14:paraId="07BCA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0F444FE4">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7"/>
                <w:sz w:val="21"/>
                <w:szCs w:val="21"/>
              </w:rPr>
              <w:t>10</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E86CA">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eastAsia" w:ascii="Times New Roman" w:hAnsi="Times New Roman" w:cs="Times New Roman"/>
                <w:spacing w:val="-2"/>
                <w:sz w:val="21"/>
                <w:szCs w:val="21"/>
                <w:lang w:val="en-US" w:eastAsia="zh-CN"/>
              </w:rPr>
              <w:t>董事会提名委员会实施细则</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416DD">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B944A">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否</w:t>
            </w:r>
          </w:p>
        </w:tc>
      </w:tr>
      <w:tr w14:paraId="605C2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4709BF88">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7"/>
                <w:sz w:val="21"/>
                <w:szCs w:val="21"/>
              </w:rPr>
              <w:t>11</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38B0A">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eastAsia" w:ascii="Times New Roman" w:hAnsi="Times New Roman" w:cs="Times New Roman"/>
                <w:spacing w:val="-2"/>
                <w:sz w:val="21"/>
                <w:szCs w:val="21"/>
                <w:lang w:val="en-US" w:eastAsia="zh-CN"/>
              </w:rPr>
              <w:t>董事会薪酬与考核</w:t>
            </w:r>
            <w:r>
              <w:rPr>
                <w:rFonts w:hint="default" w:ascii="Times New Roman" w:hAnsi="Times New Roman" w:cs="Times New Roman"/>
                <w:spacing w:val="-2"/>
                <w:sz w:val="21"/>
                <w:szCs w:val="21"/>
              </w:rPr>
              <w:t>委员会</w:t>
            </w:r>
            <w:r>
              <w:rPr>
                <w:rFonts w:hint="eastAsia" w:ascii="Times New Roman" w:hAnsi="Times New Roman" w:cs="Times New Roman"/>
                <w:spacing w:val="-2"/>
                <w:sz w:val="21"/>
                <w:szCs w:val="21"/>
                <w:lang w:val="en-US" w:eastAsia="zh-CN"/>
              </w:rPr>
              <w:t>实施细则</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4880C">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A2F95">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否</w:t>
            </w:r>
          </w:p>
        </w:tc>
      </w:tr>
      <w:tr w14:paraId="2A1EA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4503141C">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7"/>
                <w:sz w:val="21"/>
                <w:szCs w:val="21"/>
              </w:rPr>
              <w:t>12</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3EDF">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1"/>
                <w:sz w:val="21"/>
                <w:szCs w:val="21"/>
              </w:rPr>
              <w:t>董事会审计委员会实施细则</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B25C">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E2109">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否</w:t>
            </w:r>
          </w:p>
        </w:tc>
      </w:tr>
      <w:tr w14:paraId="49D1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5" w:type="dxa"/>
            <w:tcBorders>
              <w:top w:val="single" w:color="000000" w:sz="4" w:space="0"/>
              <w:left w:val="single" w:color="000000" w:sz="12" w:space="0"/>
              <w:bottom w:val="single" w:color="000000" w:sz="12" w:space="0"/>
              <w:right w:val="single" w:color="000000" w:sz="4" w:space="0"/>
            </w:tcBorders>
            <w:shd w:val="clear" w:color="auto" w:fill="auto"/>
            <w:vAlign w:val="center"/>
          </w:tcPr>
          <w:p w14:paraId="4A8D552F">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7"/>
                <w:sz w:val="21"/>
                <w:szCs w:val="21"/>
              </w:rPr>
              <w:t>13</w:t>
            </w:r>
          </w:p>
        </w:tc>
        <w:tc>
          <w:tcPr>
            <w:tcW w:w="4086"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6FEE8589">
            <w:pPr>
              <w:pStyle w:val="25"/>
              <w:keepNext w:val="0"/>
              <w:keepLines w:val="0"/>
              <w:pageBreakBefore w:val="0"/>
              <w:widowControl w:val="0"/>
              <w:kinsoku/>
              <w:wordWrap/>
              <w:overflowPunct/>
              <w:topLinePunct w:val="0"/>
              <w:bidi w:val="0"/>
              <w:snapToGrid/>
              <w:spacing w:line="240" w:lineRule="auto"/>
              <w:ind w:left="0" w:leftChars="0" w:firstLine="16" w:firstLineChars="8"/>
              <w:jc w:val="left"/>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1"/>
                <w:sz w:val="21"/>
                <w:szCs w:val="21"/>
              </w:rPr>
              <w:t>董事会审计委员会年度报告审计工作制度</w:t>
            </w:r>
          </w:p>
        </w:tc>
        <w:tc>
          <w:tcPr>
            <w:tcW w:w="1389"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667C15A8">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pacing w:val="-2"/>
                <w:sz w:val="21"/>
                <w:szCs w:val="21"/>
              </w:rPr>
              <w:t>修订</w:t>
            </w:r>
          </w:p>
        </w:tc>
        <w:tc>
          <w:tcPr>
            <w:tcW w:w="1689"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2C5384D0">
            <w:pPr>
              <w:pStyle w:val="25"/>
              <w:keepNext w:val="0"/>
              <w:keepLines w:val="0"/>
              <w:pageBreakBefore w:val="0"/>
              <w:widowControl w:val="0"/>
              <w:kinsoku/>
              <w:wordWrap/>
              <w:overflowPunct/>
              <w:topLinePunct w:val="0"/>
              <w:bidi w:val="0"/>
              <w:snapToGrid/>
              <w:spacing w:line="240" w:lineRule="auto"/>
              <w:ind w:left="0" w:leftChars="0"/>
              <w:jc w:val="center"/>
              <w:textAlignment w:val="auto"/>
              <w:rPr>
                <w:rFonts w:hint="eastAsia" w:ascii="Times New Roman" w:hAnsi="Times New Roman" w:eastAsia="宋体" w:cs="Times New Roman"/>
                <w:kern w:val="2"/>
                <w:sz w:val="21"/>
                <w:szCs w:val="21"/>
                <w:lang w:val="en-US" w:eastAsia="en-US" w:bidi="ar-SA"/>
              </w:rPr>
            </w:pPr>
            <w:r>
              <w:rPr>
                <w:rFonts w:hint="default" w:ascii="Times New Roman" w:hAnsi="Times New Roman" w:cs="Times New Roman"/>
                <w:sz w:val="21"/>
                <w:szCs w:val="21"/>
              </w:rPr>
              <w:t>否</w:t>
            </w:r>
          </w:p>
        </w:tc>
      </w:tr>
    </w:tbl>
    <w:p w14:paraId="562DC002">
      <w:pPr>
        <w:pStyle w:val="5"/>
        <w:keepNext w:val="0"/>
        <w:keepLines w:val="0"/>
        <w:pageBreakBefore w:val="0"/>
        <w:widowControl w:val="0"/>
        <w:kinsoku/>
        <w:wordWrap/>
        <w:overflowPunct/>
        <w:topLinePunct w:val="0"/>
        <w:autoSpaceDE/>
        <w:autoSpaceDN/>
        <w:bidi w:val="0"/>
        <w:adjustRightInd/>
        <w:snapToGrid/>
        <w:spacing w:before="10" w:after="157" w:afterLines="50" w:line="500" w:lineRule="exact"/>
        <w:ind w:left="0" w:right="0" w:firstLine="480" w:firstLineChars="200"/>
        <w:jc w:val="both"/>
        <w:textAlignment w:val="auto"/>
        <w:rPr>
          <w:rFonts w:hint="eastAsia"/>
          <w:b w:val="0"/>
          <w:bCs w:val="0"/>
          <w:sz w:val="24"/>
          <w:szCs w:val="24"/>
        </w:rPr>
      </w:pPr>
      <w:r>
        <w:rPr>
          <w:rFonts w:hint="eastAsia"/>
          <w:sz w:val="24"/>
          <w:szCs w:val="24"/>
        </w:rPr>
        <w:t>上述序号</w:t>
      </w:r>
      <w:r>
        <w:rPr>
          <w:rFonts w:hint="default" w:ascii="Times New Roman" w:hAnsi="Times New Roman" w:cs="Times New Roman"/>
          <w:sz w:val="24"/>
          <w:szCs w:val="24"/>
        </w:rPr>
        <w:t>1</w:t>
      </w:r>
      <w:r>
        <w:rPr>
          <w:rFonts w:hint="eastAsia" w:ascii="Times New Roman" w:hAnsi="Times New Roman" w:cs="Times New Roman"/>
          <w:sz w:val="24"/>
          <w:szCs w:val="24"/>
        </w:rPr>
        <w:t>-</w:t>
      </w:r>
      <w:r>
        <w:rPr>
          <w:rFonts w:hint="default" w:ascii="Times New Roman" w:hAnsi="Times New Roman" w:cs="Times New Roman"/>
          <w:sz w:val="24"/>
          <w:szCs w:val="24"/>
        </w:rPr>
        <w:t>8</w:t>
      </w:r>
      <w:r>
        <w:rPr>
          <w:rFonts w:hint="eastAsia"/>
          <w:sz w:val="24"/>
          <w:szCs w:val="24"/>
        </w:rPr>
        <w:t>制度的修订尚需提</w:t>
      </w:r>
      <w:r>
        <w:rPr>
          <w:rFonts w:hint="eastAsia"/>
          <w:b w:val="0"/>
          <w:bCs w:val="0"/>
          <w:sz w:val="24"/>
          <w:szCs w:val="24"/>
        </w:rPr>
        <w:t>交</w:t>
      </w:r>
      <w:r>
        <w:rPr>
          <w:rFonts w:hint="eastAsia"/>
          <w:b w:val="0"/>
          <w:bCs w:val="0"/>
          <w:sz w:val="24"/>
          <w:szCs w:val="24"/>
          <w:lang w:val="en-US" w:eastAsia="zh-CN"/>
        </w:rPr>
        <w:t>公司</w:t>
      </w:r>
      <w:r>
        <w:rPr>
          <w:rFonts w:hint="eastAsia"/>
          <w:b w:val="0"/>
          <w:bCs w:val="0"/>
          <w:sz w:val="24"/>
          <w:szCs w:val="24"/>
        </w:rPr>
        <w:t>股东</w:t>
      </w:r>
      <w:r>
        <w:rPr>
          <w:rFonts w:hint="eastAsia"/>
          <w:b w:val="0"/>
          <w:bCs w:val="0"/>
          <w:sz w:val="24"/>
          <w:szCs w:val="24"/>
          <w:lang w:val="en-US" w:eastAsia="zh-CN"/>
        </w:rPr>
        <w:t>大</w:t>
      </w:r>
      <w:r>
        <w:rPr>
          <w:rFonts w:hint="eastAsia"/>
          <w:b w:val="0"/>
          <w:bCs w:val="0"/>
          <w:sz w:val="24"/>
          <w:szCs w:val="24"/>
        </w:rPr>
        <w:t>会审议，自</w:t>
      </w:r>
      <w:r>
        <w:rPr>
          <w:rFonts w:hint="eastAsia"/>
          <w:b w:val="0"/>
          <w:bCs w:val="0"/>
          <w:sz w:val="24"/>
          <w:szCs w:val="24"/>
          <w:lang w:val="en-US" w:eastAsia="zh-CN"/>
        </w:rPr>
        <w:t>公司</w:t>
      </w:r>
      <w:r>
        <w:rPr>
          <w:rFonts w:hint="eastAsia"/>
          <w:b w:val="0"/>
          <w:bCs w:val="0"/>
          <w:sz w:val="24"/>
          <w:szCs w:val="24"/>
        </w:rPr>
        <w:t>股东</w:t>
      </w:r>
      <w:r>
        <w:rPr>
          <w:rFonts w:hint="eastAsia"/>
          <w:b w:val="0"/>
          <w:bCs w:val="0"/>
          <w:sz w:val="24"/>
          <w:szCs w:val="24"/>
          <w:lang w:val="en-US" w:eastAsia="zh-CN"/>
        </w:rPr>
        <w:t>大</w:t>
      </w:r>
      <w:r>
        <w:rPr>
          <w:rFonts w:hint="eastAsia"/>
          <w:b w:val="0"/>
          <w:bCs w:val="0"/>
          <w:sz w:val="24"/>
          <w:szCs w:val="24"/>
        </w:rPr>
        <w:t>会审议通过之日起生效实施。</w:t>
      </w:r>
    </w:p>
    <w:p w14:paraId="020B12F8">
      <w:pPr>
        <w:pStyle w:val="5"/>
        <w:keepNext w:val="0"/>
        <w:keepLines w:val="0"/>
        <w:pageBreakBefore w:val="0"/>
        <w:widowControl w:val="0"/>
        <w:kinsoku/>
        <w:wordWrap/>
        <w:overflowPunct/>
        <w:topLinePunct w:val="0"/>
        <w:autoSpaceDE/>
        <w:autoSpaceDN/>
        <w:bidi w:val="0"/>
        <w:adjustRightInd/>
        <w:snapToGrid/>
        <w:spacing w:before="10" w:after="157" w:afterLines="50" w:line="500" w:lineRule="exact"/>
        <w:ind w:left="0" w:right="0" w:firstLine="480" w:firstLineChars="200"/>
        <w:jc w:val="both"/>
        <w:textAlignment w:val="auto"/>
        <w:rPr>
          <w:rFonts w:hint="eastAsia"/>
          <w:sz w:val="24"/>
          <w:szCs w:val="24"/>
        </w:rPr>
      </w:pPr>
      <w:r>
        <w:rPr>
          <w:rFonts w:hint="eastAsia"/>
          <w:b w:val="0"/>
          <w:bCs w:val="0"/>
          <w:sz w:val="24"/>
          <w:szCs w:val="24"/>
          <w:lang w:val="en-US" w:eastAsia="zh-CN"/>
        </w:rPr>
        <w:t>修订后</w:t>
      </w:r>
      <w:r>
        <w:rPr>
          <w:rFonts w:hint="eastAsia"/>
          <w:b w:val="0"/>
          <w:bCs w:val="0"/>
          <w:sz w:val="24"/>
          <w:szCs w:val="24"/>
        </w:rPr>
        <w:t>的《公司章程》《股东会</w:t>
      </w:r>
      <w:r>
        <w:rPr>
          <w:rFonts w:hint="eastAsia"/>
          <w:sz w:val="24"/>
          <w:szCs w:val="24"/>
        </w:rPr>
        <w:t>议事规则》《董事会议事规则》和</w:t>
      </w:r>
      <w:r>
        <w:rPr>
          <w:rFonts w:hint="eastAsia"/>
          <w:sz w:val="24"/>
          <w:szCs w:val="24"/>
          <w:lang w:val="en-US" w:eastAsia="zh-CN"/>
        </w:rPr>
        <w:t>上述</w:t>
      </w:r>
      <w:r>
        <w:rPr>
          <w:rFonts w:hint="eastAsia"/>
          <w:sz w:val="24"/>
          <w:szCs w:val="24"/>
        </w:rPr>
        <w:t>其他</w:t>
      </w:r>
      <w:r>
        <w:rPr>
          <w:rFonts w:hint="eastAsia"/>
          <w:sz w:val="24"/>
          <w:szCs w:val="24"/>
          <w:lang w:val="en-US" w:eastAsia="zh-CN"/>
        </w:rPr>
        <w:t>治理</w:t>
      </w:r>
      <w:r>
        <w:rPr>
          <w:rFonts w:hint="eastAsia"/>
          <w:sz w:val="24"/>
          <w:szCs w:val="24"/>
        </w:rPr>
        <w:t>制度</w:t>
      </w:r>
      <w:r>
        <w:rPr>
          <w:rFonts w:hint="eastAsia"/>
          <w:sz w:val="24"/>
          <w:szCs w:val="24"/>
          <w:lang w:val="en-US" w:eastAsia="zh-CN"/>
        </w:rPr>
        <w:t>详见</w:t>
      </w:r>
      <w:r>
        <w:rPr>
          <w:rFonts w:hint="eastAsia"/>
          <w:sz w:val="24"/>
          <w:szCs w:val="24"/>
        </w:rPr>
        <w:t>同日</w:t>
      </w:r>
      <w:r>
        <w:rPr>
          <w:rFonts w:hint="eastAsia"/>
          <w:sz w:val="24"/>
          <w:szCs w:val="24"/>
          <w:lang w:val="en-US" w:eastAsia="zh-CN"/>
        </w:rPr>
        <w:t>刊登于中国证监会</w:t>
      </w:r>
      <w:r>
        <w:rPr>
          <w:rFonts w:hint="eastAsia"/>
          <w:sz w:val="24"/>
          <w:szCs w:val="24"/>
        </w:rPr>
        <w:t>指定</w:t>
      </w:r>
      <w:r>
        <w:rPr>
          <w:rFonts w:hint="eastAsia"/>
          <w:sz w:val="24"/>
          <w:szCs w:val="24"/>
          <w:lang w:val="en-US" w:eastAsia="zh-CN"/>
        </w:rPr>
        <w:t>的</w:t>
      </w:r>
      <w:r>
        <w:rPr>
          <w:rFonts w:hint="eastAsia"/>
          <w:sz w:val="24"/>
          <w:szCs w:val="24"/>
        </w:rPr>
        <w:t>信息披露网站巨潮资讯网（</w:t>
      </w:r>
      <w:r>
        <w:rPr>
          <w:rFonts w:hint="default" w:ascii="Times New Roman" w:hAnsi="Times New Roman" w:cs="Times New Roman"/>
          <w:sz w:val="24"/>
          <w:szCs w:val="24"/>
        </w:rPr>
        <w:t>http://www.cninfo.com.cn</w:t>
      </w:r>
      <w:r>
        <w:rPr>
          <w:rFonts w:hint="eastAsia"/>
          <w:sz w:val="24"/>
          <w:szCs w:val="24"/>
        </w:rPr>
        <w:t>）</w:t>
      </w:r>
      <w:r>
        <w:rPr>
          <w:rFonts w:hint="eastAsia"/>
          <w:sz w:val="24"/>
          <w:szCs w:val="24"/>
          <w:lang w:val="en-US" w:eastAsia="zh-CN"/>
        </w:rPr>
        <w:t>的公告</w:t>
      </w:r>
      <w:r>
        <w:rPr>
          <w:rFonts w:hint="eastAsia"/>
          <w:sz w:val="24"/>
          <w:szCs w:val="24"/>
        </w:rPr>
        <w:t>，敬请投资者注意查阅。</w:t>
      </w:r>
    </w:p>
    <w:p w14:paraId="0878BC20">
      <w:pPr>
        <w:pStyle w:val="5"/>
        <w:keepNext w:val="0"/>
        <w:keepLines w:val="0"/>
        <w:pageBreakBefore w:val="0"/>
        <w:widowControl w:val="0"/>
        <w:kinsoku/>
        <w:wordWrap/>
        <w:overflowPunct/>
        <w:topLinePunct w:val="0"/>
        <w:autoSpaceDE/>
        <w:autoSpaceDN/>
        <w:bidi w:val="0"/>
        <w:adjustRightInd/>
        <w:snapToGrid/>
        <w:spacing w:before="10" w:after="157" w:afterLines="50" w:line="500" w:lineRule="exact"/>
        <w:ind w:right="0" w:firstLine="480" w:firstLineChars="200"/>
        <w:jc w:val="both"/>
        <w:textAlignment w:val="auto"/>
        <w:rPr>
          <w:sz w:val="24"/>
          <w:szCs w:val="24"/>
        </w:rPr>
      </w:pPr>
      <w:r>
        <w:rPr>
          <w:rFonts w:hint="eastAsia"/>
          <w:sz w:val="24"/>
          <w:szCs w:val="24"/>
        </w:rPr>
        <w:t>特此公告。</w:t>
      </w:r>
    </w:p>
    <w:p w14:paraId="513BD81E">
      <w:pPr>
        <w:spacing w:before="624" w:beforeLines="200" w:line="500" w:lineRule="exact"/>
        <w:jc w:val="right"/>
        <w:rPr>
          <w:rFonts w:hint="eastAsia" w:eastAsia="宋体"/>
          <w:sz w:val="24"/>
          <w:lang w:val="en-US" w:eastAsia="zh-CN"/>
        </w:rPr>
      </w:pPr>
      <w:r>
        <w:rPr>
          <w:sz w:val="24"/>
        </w:rPr>
        <w:t>冠昊生物科技股份有限公司</w:t>
      </w:r>
      <w:r>
        <w:rPr>
          <w:rFonts w:hint="eastAsia"/>
          <w:sz w:val="24"/>
          <w:lang w:val="en-US" w:eastAsia="zh-CN"/>
        </w:rPr>
        <w:t>董事会</w:t>
      </w:r>
    </w:p>
    <w:p w14:paraId="5E30906B">
      <w:pPr>
        <w:keepNext w:val="0"/>
        <w:keepLines w:val="0"/>
        <w:pageBreakBefore w:val="0"/>
        <w:widowControl w:val="0"/>
        <w:numPr>
          <w:ilvl w:val="0"/>
          <w:numId w:val="0"/>
        </w:numPr>
        <w:tabs>
          <w:tab w:val="left" w:pos="993"/>
        </w:tabs>
        <w:kinsoku/>
        <w:wordWrap/>
        <w:overflowPunct/>
        <w:topLinePunct w:val="0"/>
        <w:autoSpaceDE w:val="0"/>
        <w:autoSpaceDN w:val="0"/>
        <w:bidi w:val="0"/>
        <w:adjustRightInd w:val="0"/>
        <w:snapToGrid/>
        <w:spacing w:before="157" w:beforeLines="50" w:after="157" w:afterLines="50" w:line="500" w:lineRule="exact"/>
        <w:ind w:firstLine="480" w:firstLineChars="200"/>
        <w:jc w:val="both"/>
        <w:textAlignment w:val="auto"/>
        <w:rPr>
          <w:rFonts w:hint="default"/>
          <w:b w:val="0"/>
          <w:bCs/>
          <w:sz w:val="24"/>
          <w:lang w:val="en-US" w:eastAsia="zh-CN"/>
        </w:rPr>
      </w:pPr>
      <w:r>
        <w:rPr>
          <w:rFonts w:hint="eastAsia"/>
          <w:color w:val="auto"/>
          <w:sz w:val="24"/>
          <w:highlight w:val="none"/>
          <w:lang w:val="en-US" w:eastAsia="zh-CN"/>
        </w:rPr>
        <w:t xml:space="preserve">                                      </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sz w:val="24"/>
          <w:highlight w:val="none"/>
        </w:rPr>
        <w:t>202</w:t>
      </w:r>
      <w:r>
        <w:rPr>
          <w:rFonts w:hint="default" w:ascii="Times New Roman" w:hAnsi="Times New Roman" w:cs="Times New Roman"/>
          <w:sz w:val="24"/>
          <w:highlight w:val="none"/>
          <w:lang w:val="en-US" w:eastAsia="zh-CN"/>
        </w:rPr>
        <w:t>5</w:t>
      </w:r>
      <w:r>
        <w:rPr>
          <w:rFonts w:hint="default" w:ascii="Times New Roman" w:hAnsi="Times New Roman" w:cs="Times New Roman"/>
          <w:sz w:val="24"/>
          <w:highlight w:val="none"/>
        </w:rPr>
        <w:t>年</w:t>
      </w:r>
      <w:r>
        <w:rPr>
          <w:rFonts w:hint="default" w:ascii="Times New Roman" w:hAnsi="Times New Roman" w:cs="Times New Roman"/>
          <w:sz w:val="24"/>
          <w:highlight w:val="none"/>
          <w:lang w:val="en-US" w:eastAsia="zh-CN"/>
        </w:rPr>
        <w:t>6</w:t>
      </w:r>
      <w:r>
        <w:rPr>
          <w:rFonts w:hint="default" w:ascii="Times New Roman" w:hAnsi="Times New Roman" w:cs="Times New Roman"/>
          <w:sz w:val="24"/>
          <w:highlight w:val="none"/>
        </w:rPr>
        <w:t>月</w:t>
      </w:r>
      <w:r>
        <w:rPr>
          <w:rFonts w:hint="eastAsia" w:cs="Times New Roman"/>
          <w:sz w:val="24"/>
          <w:highlight w:val="none"/>
          <w:lang w:val="en-US" w:eastAsia="zh-CN"/>
        </w:rPr>
        <w:t>7</w:t>
      </w:r>
      <w:r>
        <w:rPr>
          <w:rFonts w:hint="default" w:ascii="Times New Roman" w:hAnsi="Times New Roman" w:cs="Times New Roman"/>
          <w:sz w:val="24"/>
          <w:highlight w:val="none"/>
        </w:rPr>
        <w:t>日</w:t>
      </w:r>
    </w:p>
    <w:sectPr>
      <w:footerReference r:id="rId3" w:type="even"/>
      <w:pgSz w:w="11906" w:h="16838"/>
      <w:pgMar w:top="850" w:right="1800" w:bottom="85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ËÎÌå">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F3BB4">
    <w:pPr>
      <w:pStyle w:val="8"/>
      <w:framePr w:wrap="around" w:vAnchor="text" w:hAnchor="margin" w:xAlign="center" w:y="1"/>
      <w:rPr>
        <w:rStyle w:val="14"/>
      </w:rPr>
    </w:pPr>
    <w:r>
      <w:fldChar w:fldCharType="begin"/>
    </w:r>
    <w:r>
      <w:rPr>
        <w:rStyle w:val="14"/>
      </w:rPr>
      <w:instrText xml:space="preserve">PAGE  </w:instrText>
    </w:r>
    <w:r>
      <w:fldChar w:fldCharType="separate"/>
    </w:r>
    <w:r>
      <w:fldChar w:fldCharType="end"/>
    </w:r>
  </w:p>
  <w:p w14:paraId="45CF29B4">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304959"/>
    <w:multiLevelType w:val="singleLevel"/>
    <w:tmpl w:val="8D304959"/>
    <w:lvl w:ilvl="0" w:tentative="0">
      <w:start w:val="6"/>
      <w:numFmt w:val="chineseCounting"/>
      <w:suff w:val="nothing"/>
      <w:lvlText w:val="（%1）"/>
      <w:lvlJc w:val="left"/>
      <w:rPr>
        <w:rFonts w:hint="eastAsia"/>
        <w:b/>
        <w:bCs/>
        <w:color w:val="auto"/>
      </w:rPr>
    </w:lvl>
  </w:abstractNum>
  <w:abstractNum w:abstractNumId="1">
    <w:nsid w:val="DB640A6C"/>
    <w:multiLevelType w:val="singleLevel"/>
    <w:tmpl w:val="DB640A6C"/>
    <w:lvl w:ilvl="0" w:tentative="0">
      <w:start w:val="1"/>
      <w:numFmt w:val="chineseCounting"/>
      <w:suff w:val="nothing"/>
      <w:lvlText w:val="（%1）"/>
      <w:lvlJc w:val="left"/>
      <w:rPr>
        <w:rFonts w:hint="eastAsia"/>
      </w:rPr>
    </w:lvl>
  </w:abstractNum>
  <w:abstractNum w:abstractNumId="2">
    <w:nsid w:val="25270655"/>
    <w:multiLevelType w:val="singleLevel"/>
    <w:tmpl w:val="25270655"/>
    <w:lvl w:ilvl="0" w:tentative="0">
      <w:start w:val="1"/>
      <w:numFmt w:val="chineseCounting"/>
      <w:suff w:val="nothing"/>
      <w:lvlText w:val="（%1）"/>
      <w:lvlJc w:val="left"/>
      <w:rPr>
        <w:rFonts w:hint="eastAsia"/>
      </w:rPr>
    </w:lvl>
  </w:abstractNum>
  <w:abstractNum w:abstractNumId="3">
    <w:nsid w:val="3044B1D4"/>
    <w:multiLevelType w:val="singleLevel"/>
    <w:tmpl w:val="3044B1D4"/>
    <w:lvl w:ilvl="0" w:tentative="0">
      <w:start w:val="5"/>
      <w:numFmt w:val="chineseCounting"/>
      <w:suff w:val="nothing"/>
      <w:lvlText w:val="（%1）"/>
      <w:lvlJc w:val="left"/>
      <w:rPr>
        <w:rFonts w:hint="eastAsia"/>
      </w:rPr>
    </w:lvl>
  </w:abstractNum>
  <w:abstractNum w:abstractNumId="4">
    <w:nsid w:val="3777CE2D"/>
    <w:multiLevelType w:val="singleLevel"/>
    <w:tmpl w:val="3777CE2D"/>
    <w:lvl w:ilvl="0" w:tentative="0">
      <w:start w:val="1"/>
      <w:numFmt w:val="chineseCounting"/>
      <w:suff w:val="nothing"/>
      <w:lvlText w:val="%1、"/>
      <w:lvlJc w:val="left"/>
      <w:pPr>
        <w:ind w:left="0" w:firstLine="420"/>
      </w:pPr>
      <w:rPr>
        <w:rFonts w:hint="eastAsia"/>
      </w:rPr>
    </w:lvl>
  </w:abstractNum>
  <w:abstractNum w:abstractNumId="5">
    <w:nsid w:val="53A447BF"/>
    <w:multiLevelType w:val="singleLevel"/>
    <w:tmpl w:val="53A447BF"/>
    <w:lvl w:ilvl="0" w:tentative="0">
      <w:start w:val="1"/>
      <w:numFmt w:val="chineseCounting"/>
      <w:suff w:val="nothing"/>
      <w:lvlText w:val="（%1）"/>
      <w:lvlJc w:val="left"/>
      <w:rPr>
        <w:rFonts w:hint="eastAsia"/>
      </w:rPr>
    </w:lvl>
  </w:abstractNum>
  <w:num w:numId="1">
    <w:abstractNumId w:val="4"/>
  </w:num>
  <w:num w:numId="2">
    <w:abstractNumId w:val="3"/>
  </w:num>
  <w:num w:numId="3">
    <w:abstractNumId w:val="5"/>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iMzQ4MDZlNWYwNzEwODVkMjAzNjIxM2M2NjM5N2IifQ=="/>
  </w:docVars>
  <w:rsids>
    <w:rsidRoot w:val="00172A27"/>
    <w:rsid w:val="00001D0E"/>
    <w:rsid w:val="00011002"/>
    <w:rsid w:val="00013EAE"/>
    <w:rsid w:val="00025368"/>
    <w:rsid w:val="00032270"/>
    <w:rsid w:val="000521CD"/>
    <w:rsid w:val="00052492"/>
    <w:rsid w:val="00062EB3"/>
    <w:rsid w:val="00081453"/>
    <w:rsid w:val="00090935"/>
    <w:rsid w:val="000A3362"/>
    <w:rsid w:val="000A3696"/>
    <w:rsid w:val="000A4C0F"/>
    <w:rsid w:val="000A5D4C"/>
    <w:rsid w:val="000A6F02"/>
    <w:rsid w:val="000A77E6"/>
    <w:rsid w:val="000B41DB"/>
    <w:rsid w:val="000B728C"/>
    <w:rsid w:val="000C2AC8"/>
    <w:rsid w:val="000E067F"/>
    <w:rsid w:val="000F4CA5"/>
    <w:rsid w:val="000F5091"/>
    <w:rsid w:val="00104081"/>
    <w:rsid w:val="00105B57"/>
    <w:rsid w:val="001105A4"/>
    <w:rsid w:val="00116485"/>
    <w:rsid w:val="001255F4"/>
    <w:rsid w:val="00131DD6"/>
    <w:rsid w:val="00132F84"/>
    <w:rsid w:val="00136ADA"/>
    <w:rsid w:val="00150E5B"/>
    <w:rsid w:val="00164259"/>
    <w:rsid w:val="00167150"/>
    <w:rsid w:val="00170C94"/>
    <w:rsid w:val="00170E33"/>
    <w:rsid w:val="00172017"/>
    <w:rsid w:val="00175293"/>
    <w:rsid w:val="001763A2"/>
    <w:rsid w:val="00184F80"/>
    <w:rsid w:val="00194198"/>
    <w:rsid w:val="00195EA4"/>
    <w:rsid w:val="00197265"/>
    <w:rsid w:val="001A559B"/>
    <w:rsid w:val="001A7D61"/>
    <w:rsid w:val="001B0837"/>
    <w:rsid w:val="001B28D3"/>
    <w:rsid w:val="001C49F2"/>
    <w:rsid w:val="001D67F2"/>
    <w:rsid w:val="001D68BC"/>
    <w:rsid w:val="001E1777"/>
    <w:rsid w:val="001E2D70"/>
    <w:rsid w:val="001E569F"/>
    <w:rsid w:val="001F6A33"/>
    <w:rsid w:val="00201673"/>
    <w:rsid w:val="002160D5"/>
    <w:rsid w:val="00217438"/>
    <w:rsid w:val="002230EC"/>
    <w:rsid w:val="00223B7F"/>
    <w:rsid w:val="00223BC7"/>
    <w:rsid w:val="00230E21"/>
    <w:rsid w:val="00231AA0"/>
    <w:rsid w:val="002404B5"/>
    <w:rsid w:val="00244EA4"/>
    <w:rsid w:val="002503A1"/>
    <w:rsid w:val="00252119"/>
    <w:rsid w:val="00253978"/>
    <w:rsid w:val="002549A2"/>
    <w:rsid w:val="00254B8A"/>
    <w:rsid w:val="002641C6"/>
    <w:rsid w:val="002643DD"/>
    <w:rsid w:val="00265548"/>
    <w:rsid w:val="00270050"/>
    <w:rsid w:val="002734FE"/>
    <w:rsid w:val="00277971"/>
    <w:rsid w:val="00287251"/>
    <w:rsid w:val="002A741E"/>
    <w:rsid w:val="002B0DDE"/>
    <w:rsid w:val="002B7F43"/>
    <w:rsid w:val="002C0947"/>
    <w:rsid w:val="002C24E0"/>
    <w:rsid w:val="002C4F76"/>
    <w:rsid w:val="002C682B"/>
    <w:rsid w:val="002D24AB"/>
    <w:rsid w:val="002E46F8"/>
    <w:rsid w:val="002E507E"/>
    <w:rsid w:val="002F0E2D"/>
    <w:rsid w:val="002F14E5"/>
    <w:rsid w:val="002F1B94"/>
    <w:rsid w:val="002F258B"/>
    <w:rsid w:val="002F4052"/>
    <w:rsid w:val="002F5234"/>
    <w:rsid w:val="002F6ED0"/>
    <w:rsid w:val="003006AC"/>
    <w:rsid w:val="00313FA3"/>
    <w:rsid w:val="00317F73"/>
    <w:rsid w:val="00345AF8"/>
    <w:rsid w:val="00345C89"/>
    <w:rsid w:val="003559E5"/>
    <w:rsid w:val="00363EC0"/>
    <w:rsid w:val="003673BF"/>
    <w:rsid w:val="0037062E"/>
    <w:rsid w:val="00370ECE"/>
    <w:rsid w:val="00371650"/>
    <w:rsid w:val="00376356"/>
    <w:rsid w:val="0038167A"/>
    <w:rsid w:val="00395E18"/>
    <w:rsid w:val="00397E0F"/>
    <w:rsid w:val="003A5A57"/>
    <w:rsid w:val="003B1ADA"/>
    <w:rsid w:val="003C0E3F"/>
    <w:rsid w:val="003C0EE6"/>
    <w:rsid w:val="003C4E13"/>
    <w:rsid w:val="003E6435"/>
    <w:rsid w:val="003E71AB"/>
    <w:rsid w:val="004013A9"/>
    <w:rsid w:val="00413897"/>
    <w:rsid w:val="00420474"/>
    <w:rsid w:val="004372CF"/>
    <w:rsid w:val="00447BFD"/>
    <w:rsid w:val="004509DA"/>
    <w:rsid w:val="004564FA"/>
    <w:rsid w:val="00460626"/>
    <w:rsid w:val="0046528A"/>
    <w:rsid w:val="00466346"/>
    <w:rsid w:val="00482B5D"/>
    <w:rsid w:val="00486D5E"/>
    <w:rsid w:val="00495C29"/>
    <w:rsid w:val="004A1C0A"/>
    <w:rsid w:val="004A50E0"/>
    <w:rsid w:val="004B23EC"/>
    <w:rsid w:val="004B2EEF"/>
    <w:rsid w:val="004B4DE7"/>
    <w:rsid w:val="004C31B1"/>
    <w:rsid w:val="004D2046"/>
    <w:rsid w:val="004D248F"/>
    <w:rsid w:val="004D5565"/>
    <w:rsid w:val="004D65EC"/>
    <w:rsid w:val="004E109F"/>
    <w:rsid w:val="004E2A4A"/>
    <w:rsid w:val="004E6D87"/>
    <w:rsid w:val="004F0966"/>
    <w:rsid w:val="005027DD"/>
    <w:rsid w:val="0050642C"/>
    <w:rsid w:val="005139E7"/>
    <w:rsid w:val="00515B8F"/>
    <w:rsid w:val="00515EAB"/>
    <w:rsid w:val="00522E51"/>
    <w:rsid w:val="00523E13"/>
    <w:rsid w:val="005274CB"/>
    <w:rsid w:val="00532797"/>
    <w:rsid w:val="00553C2F"/>
    <w:rsid w:val="00556E30"/>
    <w:rsid w:val="005575B2"/>
    <w:rsid w:val="0056747C"/>
    <w:rsid w:val="0057143D"/>
    <w:rsid w:val="00571C62"/>
    <w:rsid w:val="00572C07"/>
    <w:rsid w:val="00573658"/>
    <w:rsid w:val="00576E85"/>
    <w:rsid w:val="005819FE"/>
    <w:rsid w:val="00590A9A"/>
    <w:rsid w:val="005915AC"/>
    <w:rsid w:val="00591938"/>
    <w:rsid w:val="00591D7A"/>
    <w:rsid w:val="00597279"/>
    <w:rsid w:val="005A2FB0"/>
    <w:rsid w:val="005B440B"/>
    <w:rsid w:val="005B4C24"/>
    <w:rsid w:val="005C193E"/>
    <w:rsid w:val="005C24F3"/>
    <w:rsid w:val="005C28AB"/>
    <w:rsid w:val="005D01EB"/>
    <w:rsid w:val="005D1107"/>
    <w:rsid w:val="005E7F39"/>
    <w:rsid w:val="005F0B5B"/>
    <w:rsid w:val="005F285A"/>
    <w:rsid w:val="005F7F36"/>
    <w:rsid w:val="00610602"/>
    <w:rsid w:val="0063014D"/>
    <w:rsid w:val="00635A04"/>
    <w:rsid w:val="00642B5E"/>
    <w:rsid w:val="00654A9A"/>
    <w:rsid w:val="00655FEE"/>
    <w:rsid w:val="00661DA1"/>
    <w:rsid w:val="006644E7"/>
    <w:rsid w:val="006671FA"/>
    <w:rsid w:val="006754D3"/>
    <w:rsid w:val="00684C93"/>
    <w:rsid w:val="00692433"/>
    <w:rsid w:val="00696025"/>
    <w:rsid w:val="0069772A"/>
    <w:rsid w:val="006A1C5F"/>
    <w:rsid w:val="006A394B"/>
    <w:rsid w:val="006A6767"/>
    <w:rsid w:val="006B59BD"/>
    <w:rsid w:val="006D1418"/>
    <w:rsid w:val="006D5DF6"/>
    <w:rsid w:val="006D7409"/>
    <w:rsid w:val="006D7BF0"/>
    <w:rsid w:val="006E07FA"/>
    <w:rsid w:val="006E12D2"/>
    <w:rsid w:val="006E78D3"/>
    <w:rsid w:val="006F5E38"/>
    <w:rsid w:val="00704C9E"/>
    <w:rsid w:val="00714FFE"/>
    <w:rsid w:val="007150C2"/>
    <w:rsid w:val="007222B1"/>
    <w:rsid w:val="00724309"/>
    <w:rsid w:val="00730E20"/>
    <w:rsid w:val="00732019"/>
    <w:rsid w:val="007369F9"/>
    <w:rsid w:val="00736A64"/>
    <w:rsid w:val="0074478A"/>
    <w:rsid w:val="00745414"/>
    <w:rsid w:val="00746086"/>
    <w:rsid w:val="0074639D"/>
    <w:rsid w:val="00761532"/>
    <w:rsid w:val="00770518"/>
    <w:rsid w:val="00771103"/>
    <w:rsid w:val="00774E1E"/>
    <w:rsid w:val="00775941"/>
    <w:rsid w:val="00780B13"/>
    <w:rsid w:val="007856B0"/>
    <w:rsid w:val="00786992"/>
    <w:rsid w:val="00793875"/>
    <w:rsid w:val="007A3BA4"/>
    <w:rsid w:val="007A41B3"/>
    <w:rsid w:val="007A476F"/>
    <w:rsid w:val="007A65F2"/>
    <w:rsid w:val="007A6BFC"/>
    <w:rsid w:val="007A75C4"/>
    <w:rsid w:val="007B3AD1"/>
    <w:rsid w:val="007C15BA"/>
    <w:rsid w:val="007C3F75"/>
    <w:rsid w:val="007C50EE"/>
    <w:rsid w:val="007D415B"/>
    <w:rsid w:val="007E4429"/>
    <w:rsid w:val="007E690D"/>
    <w:rsid w:val="007E7221"/>
    <w:rsid w:val="007F03F2"/>
    <w:rsid w:val="007F47FE"/>
    <w:rsid w:val="0080390B"/>
    <w:rsid w:val="00817FCF"/>
    <w:rsid w:val="00824261"/>
    <w:rsid w:val="00827FC2"/>
    <w:rsid w:val="00834C6E"/>
    <w:rsid w:val="0083552B"/>
    <w:rsid w:val="00836CA9"/>
    <w:rsid w:val="00841554"/>
    <w:rsid w:val="00855D6A"/>
    <w:rsid w:val="00860621"/>
    <w:rsid w:val="00861553"/>
    <w:rsid w:val="008630C0"/>
    <w:rsid w:val="00867BC3"/>
    <w:rsid w:val="00871074"/>
    <w:rsid w:val="0087111B"/>
    <w:rsid w:val="00871D99"/>
    <w:rsid w:val="0088269D"/>
    <w:rsid w:val="00882825"/>
    <w:rsid w:val="00885025"/>
    <w:rsid w:val="008878A9"/>
    <w:rsid w:val="008A1FFA"/>
    <w:rsid w:val="008A6F88"/>
    <w:rsid w:val="008A77EA"/>
    <w:rsid w:val="008B0805"/>
    <w:rsid w:val="008B1E51"/>
    <w:rsid w:val="008C330B"/>
    <w:rsid w:val="008C66B6"/>
    <w:rsid w:val="008C742A"/>
    <w:rsid w:val="008D6C87"/>
    <w:rsid w:val="008E3534"/>
    <w:rsid w:val="008E3C7A"/>
    <w:rsid w:val="008E4A4E"/>
    <w:rsid w:val="008E5DFB"/>
    <w:rsid w:val="008F0C79"/>
    <w:rsid w:val="008F5E4C"/>
    <w:rsid w:val="0090530F"/>
    <w:rsid w:val="00906EBE"/>
    <w:rsid w:val="009076C5"/>
    <w:rsid w:val="00916F5B"/>
    <w:rsid w:val="009209F4"/>
    <w:rsid w:val="00920C0D"/>
    <w:rsid w:val="00922900"/>
    <w:rsid w:val="0093142D"/>
    <w:rsid w:val="00931863"/>
    <w:rsid w:val="00933028"/>
    <w:rsid w:val="009340FF"/>
    <w:rsid w:val="00936352"/>
    <w:rsid w:val="0094501D"/>
    <w:rsid w:val="00950FC0"/>
    <w:rsid w:val="00965186"/>
    <w:rsid w:val="00967D4D"/>
    <w:rsid w:val="009729F0"/>
    <w:rsid w:val="009738B6"/>
    <w:rsid w:val="009804D5"/>
    <w:rsid w:val="00982024"/>
    <w:rsid w:val="00984696"/>
    <w:rsid w:val="0098766C"/>
    <w:rsid w:val="009903F3"/>
    <w:rsid w:val="00993542"/>
    <w:rsid w:val="009975C9"/>
    <w:rsid w:val="009A2869"/>
    <w:rsid w:val="009B6889"/>
    <w:rsid w:val="009D20E2"/>
    <w:rsid w:val="009D7ED2"/>
    <w:rsid w:val="009E38F2"/>
    <w:rsid w:val="00A03CEA"/>
    <w:rsid w:val="00A136D6"/>
    <w:rsid w:val="00A141C3"/>
    <w:rsid w:val="00A226EB"/>
    <w:rsid w:val="00A251B4"/>
    <w:rsid w:val="00A27E91"/>
    <w:rsid w:val="00A35692"/>
    <w:rsid w:val="00A400F8"/>
    <w:rsid w:val="00A408F4"/>
    <w:rsid w:val="00A4171F"/>
    <w:rsid w:val="00A44F74"/>
    <w:rsid w:val="00A45732"/>
    <w:rsid w:val="00A45FF7"/>
    <w:rsid w:val="00A522EC"/>
    <w:rsid w:val="00A5615A"/>
    <w:rsid w:val="00A57FD2"/>
    <w:rsid w:val="00A62E75"/>
    <w:rsid w:val="00A6733B"/>
    <w:rsid w:val="00A71E2A"/>
    <w:rsid w:val="00A74828"/>
    <w:rsid w:val="00A7525D"/>
    <w:rsid w:val="00A84620"/>
    <w:rsid w:val="00A96BBB"/>
    <w:rsid w:val="00AB28BC"/>
    <w:rsid w:val="00AC35A1"/>
    <w:rsid w:val="00AC37F8"/>
    <w:rsid w:val="00AC513F"/>
    <w:rsid w:val="00AD0AC3"/>
    <w:rsid w:val="00AD5D20"/>
    <w:rsid w:val="00AD7587"/>
    <w:rsid w:val="00AE59C0"/>
    <w:rsid w:val="00AF1ADC"/>
    <w:rsid w:val="00AF2899"/>
    <w:rsid w:val="00B0320E"/>
    <w:rsid w:val="00B038E1"/>
    <w:rsid w:val="00B10910"/>
    <w:rsid w:val="00B32D46"/>
    <w:rsid w:val="00B42398"/>
    <w:rsid w:val="00B5565A"/>
    <w:rsid w:val="00B57606"/>
    <w:rsid w:val="00B7435D"/>
    <w:rsid w:val="00B74A35"/>
    <w:rsid w:val="00B758BF"/>
    <w:rsid w:val="00B80C9F"/>
    <w:rsid w:val="00B9485D"/>
    <w:rsid w:val="00BA3727"/>
    <w:rsid w:val="00BA58DD"/>
    <w:rsid w:val="00BA71F8"/>
    <w:rsid w:val="00BB7142"/>
    <w:rsid w:val="00BB7F6C"/>
    <w:rsid w:val="00BC0CE8"/>
    <w:rsid w:val="00BC7F1B"/>
    <w:rsid w:val="00BD1D1A"/>
    <w:rsid w:val="00BE7FE3"/>
    <w:rsid w:val="00C00559"/>
    <w:rsid w:val="00C01C30"/>
    <w:rsid w:val="00C027D1"/>
    <w:rsid w:val="00C05057"/>
    <w:rsid w:val="00C07206"/>
    <w:rsid w:val="00C15CF1"/>
    <w:rsid w:val="00C20C9C"/>
    <w:rsid w:val="00C23222"/>
    <w:rsid w:val="00C24314"/>
    <w:rsid w:val="00C26803"/>
    <w:rsid w:val="00C31F09"/>
    <w:rsid w:val="00C37037"/>
    <w:rsid w:val="00C40031"/>
    <w:rsid w:val="00C46725"/>
    <w:rsid w:val="00C51E38"/>
    <w:rsid w:val="00C52B0D"/>
    <w:rsid w:val="00C54D44"/>
    <w:rsid w:val="00C561FB"/>
    <w:rsid w:val="00C5676D"/>
    <w:rsid w:val="00C73FE0"/>
    <w:rsid w:val="00C75DB1"/>
    <w:rsid w:val="00C835F1"/>
    <w:rsid w:val="00C90E6E"/>
    <w:rsid w:val="00CA4E3E"/>
    <w:rsid w:val="00CB6254"/>
    <w:rsid w:val="00CB6B09"/>
    <w:rsid w:val="00CB7071"/>
    <w:rsid w:val="00CC15B8"/>
    <w:rsid w:val="00CC461B"/>
    <w:rsid w:val="00CC61B9"/>
    <w:rsid w:val="00CD3688"/>
    <w:rsid w:val="00CD4DAB"/>
    <w:rsid w:val="00CD6EB9"/>
    <w:rsid w:val="00CF259D"/>
    <w:rsid w:val="00CF731B"/>
    <w:rsid w:val="00D028F2"/>
    <w:rsid w:val="00D10E3A"/>
    <w:rsid w:val="00D17BE2"/>
    <w:rsid w:val="00D24FB4"/>
    <w:rsid w:val="00D26AF5"/>
    <w:rsid w:val="00D2796C"/>
    <w:rsid w:val="00D30990"/>
    <w:rsid w:val="00D31D0D"/>
    <w:rsid w:val="00D342EC"/>
    <w:rsid w:val="00D51F83"/>
    <w:rsid w:val="00D53115"/>
    <w:rsid w:val="00D70639"/>
    <w:rsid w:val="00D81023"/>
    <w:rsid w:val="00D830DB"/>
    <w:rsid w:val="00D873A1"/>
    <w:rsid w:val="00D87D09"/>
    <w:rsid w:val="00D924E1"/>
    <w:rsid w:val="00DA21A7"/>
    <w:rsid w:val="00DB03C0"/>
    <w:rsid w:val="00DB1786"/>
    <w:rsid w:val="00DB4386"/>
    <w:rsid w:val="00DB5033"/>
    <w:rsid w:val="00DB610B"/>
    <w:rsid w:val="00DB650B"/>
    <w:rsid w:val="00DC2D68"/>
    <w:rsid w:val="00DD1D53"/>
    <w:rsid w:val="00DE5A57"/>
    <w:rsid w:val="00DE5B4A"/>
    <w:rsid w:val="00DF20DC"/>
    <w:rsid w:val="00E025D6"/>
    <w:rsid w:val="00E056D1"/>
    <w:rsid w:val="00E06565"/>
    <w:rsid w:val="00E10067"/>
    <w:rsid w:val="00E107E2"/>
    <w:rsid w:val="00E1425A"/>
    <w:rsid w:val="00E20F8D"/>
    <w:rsid w:val="00E36B66"/>
    <w:rsid w:val="00E60783"/>
    <w:rsid w:val="00E666F9"/>
    <w:rsid w:val="00E86535"/>
    <w:rsid w:val="00E918B3"/>
    <w:rsid w:val="00EA1E15"/>
    <w:rsid w:val="00EA3758"/>
    <w:rsid w:val="00EA566E"/>
    <w:rsid w:val="00EB34ED"/>
    <w:rsid w:val="00EC3CA7"/>
    <w:rsid w:val="00EC4F86"/>
    <w:rsid w:val="00ED3701"/>
    <w:rsid w:val="00EE123C"/>
    <w:rsid w:val="00EE2E09"/>
    <w:rsid w:val="00EE568D"/>
    <w:rsid w:val="00EF7208"/>
    <w:rsid w:val="00F0456F"/>
    <w:rsid w:val="00F10D2D"/>
    <w:rsid w:val="00F10DB1"/>
    <w:rsid w:val="00F27C82"/>
    <w:rsid w:val="00F30F0B"/>
    <w:rsid w:val="00F313AE"/>
    <w:rsid w:val="00F43301"/>
    <w:rsid w:val="00F434FB"/>
    <w:rsid w:val="00F53413"/>
    <w:rsid w:val="00F53EE6"/>
    <w:rsid w:val="00F5654D"/>
    <w:rsid w:val="00F565E2"/>
    <w:rsid w:val="00F56701"/>
    <w:rsid w:val="00F63EC5"/>
    <w:rsid w:val="00F64EFC"/>
    <w:rsid w:val="00F70CC0"/>
    <w:rsid w:val="00F712C4"/>
    <w:rsid w:val="00F72357"/>
    <w:rsid w:val="00F753B4"/>
    <w:rsid w:val="00F805A4"/>
    <w:rsid w:val="00F8308D"/>
    <w:rsid w:val="00F93D7E"/>
    <w:rsid w:val="00F94D08"/>
    <w:rsid w:val="00FA1078"/>
    <w:rsid w:val="00FB76B8"/>
    <w:rsid w:val="00FC17F0"/>
    <w:rsid w:val="00FC70FA"/>
    <w:rsid w:val="00FD3CD0"/>
    <w:rsid w:val="00FD4713"/>
    <w:rsid w:val="00FF3734"/>
    <w:rsid w:val="0154247A"/>
    <w:rsid w:val="015D7034"/>
    <w:rsid w:val="02B66546"/>
    <w:rsid w:val="033B4BE7"/>
    <w:rsid w:val="04C42EA2"/>
    <w:rsid w:val="058E56AC"/>
    <w:rsid w:val="07245E7A"/>
    <w:rsid w:val="078E5C29"/>
    <w:rsid w:val="07A03C3F"/>
    <w:rsid w:val="07A80859"/>
    <w:rsid w:val="07B13BB2"/>
    <w:rsid w:val="07C000B3"/>
    <w:rsid w:val="08126A05"/>
    <w:rsid w:val="08836BD0"/>
    <w:rsid w:val="09265038"/>
    <w:rsid w:val="0B1526A9"/>
    <w:rsid w:val="0B412496"/>
    <w:rsid w:val="0E5D2866"/>
    <w:rsid w:val="0ECD10FE"/>
    <w:rsid w:val="0EFD7706"/>
    <w:rsid w:val="0F8751F8"/>
    <w:rsid w:val="0F90172A"/>
    <w:rsid w:val="0FC41FA8"/>
    <w:rsid w:val="115455AE"/>
    <w:rsid w:val="11863589"/>
    <w:rsid w:val="11951E4E"/>
    <w:rsid w:val="11EE2433"/>
    <w:rsid w:val="120833FF"/>
    <w:rsid w:val="12450002"/>
    <w:rsid w:val="130712D9"/>
    <w:rsid w:val="13AA717A"/>
    <w:rsid w:val="157A5AEE"/>
    <w:rsid w:val="157E168E"/>
    <w:rsid w:val="160550C9"/>
    <w:rsid w:val="16986F77"/>
    <w:rsid w:val="16A85139"/>
    <w:rsid w:val="17255A22"/>
    <w:rsid w:val="172A4140"/>
    <w:rsid w:val="187A3B4C"/>
    <w:rsid w:val="18DA3EFA"/>
    <w:rsid w:val="19A92987"/>
    <w:rsid w:val="1A9B3057"/>
    <w:rsid w:val="1AC1151A"/>
    <w:rsid w:val="1B027E29"/>
    <w:rsid w:val="1B2915D7"/>
    <w:rsid w:val="1BC26506"/>
    <w:rsid w:val="1CBF593A"/>
    <w:rsid w:val="1CE54811"/>
    <w:rsid w:val="1D024BCB"/>
    <w:rsid w:val="1E044A43"/>
    <w:rsid w:val="1E124827"/>
    <w:rsid w:val="1ECE78E0"/>
    <w:rsid w:val="1EF32AD4"/>
    <w:rsid w:val="1F011166"/>
    <w:rsid w:val="1F0D21B3"/>
    <w:rsid w:val="1F261214"/>
    <w:rsid w:val="1F563551"/>
    <w:rsid w:val="1F82376E"/>
    <w:rsid w:val="1FAC1C5B"/>
    <w:rsid w:val="20240690"/>
    <w:rsid w:val="20DB35F6"/>
    <w:rsid w:val="226A0D6A"/>
    <w:rsid w:val="22751918"/>
    <w:rsid w:val="22912659"/>
    <w:rsid w:val="23477B22"/>
    <w:rsid w:val="235F2117"/>
    <w:rsid w:val="23D4293A"/>
    <w:rsid w:val="244B7A8B"/>
    <w:rsid w:val="24AA48C4"/>
    <w:rsid w:val="25826736"/>
    <w:rsid w:val="258C4EBE"/>
    <w:rsid w:val="264D6D44"/>
    <w:rsid w:val="267E685C"/>
    <w:rsid w:val="26AF759C"/>
    <w:rsid w:val="26F45411"/>
    <w:rsid w:val="271A33E6"/>
    <w:rsid w:val="27F751B9"/>
    <w:rsid w:val="28104FE7"/>
    <w:rsid w:val="29F673A4"/>
    <w:rsid w:val="2A830B12"/>
    <w:rsid w:val="2AA91AA3"/>
    <w:rsid w:val="2ABE3D6C"/>
    <w:rsid w:val="2AE5601E"/>
    <w:rsid w:val="2B465B0F"/>
    <w:rsid w:val="2B5063B5"/>
    <w:rsid w:val="2D020635"/>
    <w:rsid w:val="2D351F60"/>
    <w:rsid w:val="2D582864"/>
    <w:rsid w:val="2D716A14"/>
    <w:rsid w:val="2DD318D0"/>
    <w:rsid w:val="2FEA1282"/>
    <w:rsid w:val="30042191"/>
    <w:rsid w:val="30393E95"/>
    <w:rsid w:val="31134157"/>
    <w:rsid w:val="31142A4A"/>
    <w:rsid w:val="3169413E"/>
    <w:rsid w:val="321D581A"/>
    <w:rsid w:val="322C32C5"/>
    <w:rsid w:val="338E62A6"/>
    <w:rsid w:val="344946FD"/>
    <w:rsid w:val="354B444E"/>
    <w:rsid w:val="36531EA9"/>
    <w:rsid w:val="370B658B"/>
    <w:rsid w:val="373B340E"/>
    <w:rsid w:val="373F0367"/>
    <w:rsid w:val="37C2595C"/>
    <w:rsid w:val="37CA0635"/>
    <w:rsid w:val="37D20E57"/>
    <w:rsid w:val="37E56DDC"/>
    <w:rsid w:val="39EC164A"/>
    <w:rsid w:val="3A563C88"/>
    <w:rsid w:val="3AAA1611"/>
    <w:rsid w:val="3B226DE3"/>
    <w:rsid w:val="3B2A7EFF"/>
    <w:rsid w:val="3B2D60A9"/>
    <w:rsid w:val="3B312338"/>
    <w:rsid w:val="3BCB453B"/>
    <w:rsid w:val="3BE628EE"/>
    <w:rsid w:val="3C0D4D59"/>
    <w:rsid w:val="3C3311E9"/>
    <w:rsid w:val="3C6109FB"/>
    <w:rsid w:val="3D18245C"/>
    <w:rsid w:val="3D5E0D9C"/>
    <w:rsid w:val="3D932E36"/>
    <w:rsid w:val="3ED671C3"/>
    <w:rsid w:val="3F051B12"/>
    <w:rsid w:val="40A315E2"/>
    <w:rsid w:val="42154A4F"/>
    <w:rsid w:val="42ED4D97"/>
    <w:rsid w:val="43574906"/>
    <w:rsid w:val="44B47A97"/>
    <w:rsid w:val="45010FCD"/>
    <w:rsid w:val="45794097"/>
    <w:rsid w:val="45A96C40"/>
    <w:rsid w:val="46F02C9F"/>
    <w:rsid w:val="47494774"/>
    <w:rsid w:val="47B916EB"/>
    <w:rsid w:val="480D7C89"/>
    <w:rsid w:val="48A00C11"/>
    <w:rsid w:val="497D499A"/>
    <w:rsid w:val="4A0338DF"/>
    <w:rsid w:val="4A752203"/>
    <w:rsid w:val="4B296F28"/>
    <w:rsid w:val="4B7D25EB"/>
    <w:rsid w:val="4BB5666E"/>
    <w:rsid w:val="4BDF15C9"/>
    <w:rsid w:val="4C220D33"/>
    <w:rsid w:val="4C5A021C"/>
    <w:rsid w:val="4CA5211D"/>
    <w:rsid w:val="4CAF18B4"/>
    <w:rsid w:val="4CC609CC"/>
    <w:rsid w:val="4CF45504"/>
    <w:rsid w:val="4D856A8B"/>
    <w:rsid w:val="4D8620CC"/>
    <w:rsid w:val="4D996509"/>
    <w:rsid w:val="4E395005"/>
    <w:rsid w:val="4F1660FF"/>
    <w:rsid w:val="4F372527"/>
    <w:rsid w:val="4F7960D9"/>
    <w:rsid w:val="4FDD5BD3"/>
    <w:rsid w:val="50492126"/>
    <w:rsid w:val="50795EBC"/>
    <w:rsid w:val="5152104C"/>
    <w:rsid w:val="51EB4B97"/>
    <w:rsid w:val="51F2015A"/>
    <w:rsid w:val="5328311B"/>
    <w:rsid w:val="53B32729"/>
    <w:rsid w:val="542C0846"/>
    <w:rsid w:val="54504A04"/>
    <w:rsid w:val="54733A95"/>
    <w:rsid w:val="54A06E31"/>
    <w:rsid w:val="54CC2801"/>
    <w:rsid w:val="56A86D2B"/>
    <w:rsid w:val="57871AB5"/>
    <w:rsid w:val="578B245B"/>
    <w:rsid w:val="587E7B3F"/>
    <w:rsid w:val="59113422"/>
    <w:rsid w:val="59122997"/>
    <w:rsid w:val="59324426"/>
    <w:rsid w:val="593C6494"/>
    <w:rsid w:val="59CE1AF2"/>
    <w:rsid w:val="5A1410A2"/>
    <w:rsid w:val="5A3474BB"/>
    <w:rsid w:val="5A3B5BC0"/>
    <w:rsid w:val="5AD920A8"/>
    <w:rsid w:val="5B0C19AC"/>
    <w:rsid w:val="5B0F5D9A"/>
    <w:rsid w:val="5B3A09CE"/>
    <w:rsid w:val="5BF850C9"/>
    <w:rsid w:val="5BFC4B1C"/>
    <w:rsid w:val="5C1C66E5"/>
    <w:rsid w:val="5C2559F3"/>
    <w:rsid w:val="5CDE5EF1"/>
    <w:rsid w:val="5D35760E"/>
    <w:rsid w:val="5DBF0097"/>
    <w:rsid w:val="5F23343D"/>
    <w:rsid w:val="5F457040"/>
    <w:rsid w:val="5FC346F9"/>
    <w:rsid w:val="600E2D41"/>
    <w:rsid w:val="604C595C"/>
    <w:rsid w:val="61466B71"/>
    <w:rsid w:val="627E2623"/>
    <w:rsid w:val="628730F2"/>
    <w:rsid w:val="63881BA2"/>
    <w:rsid w:val="6390545A"/>
    <w:rsid w:val="63B96F42"/>
    <w:rsid w:val="63EE180B"/>
    <w:rsid w:val="63FA3360"/>
    <w:rsid w:val="63FC7FE4"/>
    <w:rsid w:val="64153CF6"/>
    <w:rsid w:val="64370CAE"/>
    <w:rsid w:val="64CC4C63"/>
    <w:rsid w:val="652D4159"/>
    <w:rsid w:val="653E0D67"/>
    <w:rsid w:val="65752086"/>
    <w:rsid w:val="66104D3F"/>
    <w:rsid w:val="66A03D4A"/>
    <w:rsid w:val="66BB2521"/>
    <w:rsid w:val="68212C69"/>
    <w:rsid w:val="68A044D6"/>
    <w:rsid w:val="69371D35"/>
    <w:rsid w:val="69D26441"/>
    <w:rsid w:val="6A3D2AE1"/>
    <w:rsid w:val="6A813E93"/>
    <w:rsid w:val="6B93015E"/>
    <w:rsid w:val="6BC25471"/>
    <w:rsid w:val="6C0623DB"/>
    <w:rsid w:val="6CAD5F12"/>
    <w:rsid w:val="6CF322C9"/>
    <w:rsid w:val="6D584C73"/>
    <w:rsid w:val="6D5E0131"/>
    <w:rsid w:val="6DE12CBB"/>
    <w:rsid w:val="6E5F7928"/>
    <w:rsid w:val="6EC81E7C"/>
    <w:rsid w:val="6EFE696A"/>
    <w:rsid w:val="6FCE7B7A"/>
    <w:rsid w:val="6FE22C5D"/>
    <w:rsid w:val="6FF15617"/>
    <w:rsid w:val="70227A82"/>
    <w:rsid w:val="708C4056"/>
    <w:rsid w:val="708E544F"/>
    <w:rsid w:val="70A676AC"/>
    <w:rsid w:val="713E047F"/>
    <w:rsid w:val="71531647"/>
    <w:rsid w:val="72AB0D5F"/>
    <w:rsid w:val="73100185"/>
    <w:rsid w:val="732D7564"/>
    <w:rsid w:val="74143FCA"/>
    <w:rsid w:val="7495570F"/>
    <w:rsid w:val="758C2C2C"/>
    <w:rsid w:val="780A196C"/>
    <w:rsid w:val="78AE31EB"/>
    <w:rsid w:val="78B7221E"/>
    <w:rsid w:val="78C35749"/>
    <w:rsid w:val="79034825"/>
    <w:rsid w:val="79233D5A"/>
    <w:rsid w:val="79293BA2"/>
    <w:rsid w:val="79A454A8"/>
    <w:rsid w:val="79A8143C"/>
    <w:rsid w:val="79DB1771"/>
    <w:rsid w:val="7A3F49D3"/>
    <w:rsid w:val="7AAA1A7F"/>
    <w:rsid w:val="7ACA756B"/>
    <w:rsid w:val="7ADE64F4"/>
    <w:rsid w:val="7B080236"/>
    <w:rsid w:val="7B35044E"/>
    <w:rsid w:val="7B8C08E9"/>
    <w:rsid w:val="7B9E6F3E"/>
    <w:rsid w:val="7C8D4CA5"/>
    <w:rsid w:val="7D7C75A8"/>
    <w:rsid w:val="7DE363E0"/>
    <w:rsid w:val="7ECE1082"/>
    <w:rsid w:val="7EE74447"/>
    <w:rsid w:val="7F7418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outlineLvl w:val="0"/>
    </w:pPr>
    <w:rPr>
      <w:b/>
      <w:bCs/>
      <w:kern w:val="36"/>
      <w:sz w:val="44"/>
      <w:szCs w:val="44"/>
    </w:rPr>
  </w:style>
  <w:style w:type="character" w:default="1" w:styleId="13">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ind w:firstLine="420"/>
    </w:pPr>
    <w:rPr>
      <w:sz w:val="24"/>
      <w:szCs w:val="20"/>
    </w:rPr>
  </w:style>
  <w:style w:type="paragraph" w:styleId="4">
    <w:name w:val="annotation text"/>
    <w:basedOn w:val="1"/>
    <w:autoRedefine/>
    <w:qFormat/>
    <w:uiPriority w:val="0"/>
    <w:pPr>
      <w:jc w:val="left"/>
    </w:pPr>
  </w:style>
  <w:style w:type="paragraph" w:styleId="5">
    <w:name w:val="Body Text"/>
    <w:basedOn w:val="1"/>
    <w:semiHidden/>
    <w:qFormat/>
    <w:uiPriority w:val="0"/>
    <w:rPr>
      <w:rFonts w:ascii="宋体" w:hAnsi="宋体" w:eastAsia="宋体" w:cs="宋体"/>
      <w:sz w:val="22"/>
      <w:szCs w:val="22"/>
      <w:lang w:val="en-US" w:eastAsia="en-US" w:bidi="ar-SA"/>
    </w:rPr>
  </w:style>
  <w:style w:type="paragraph" w:styleId="6">
    <w:name w:val="Date"/>
    <w:basedOn w:val="1"/>
    <w:next w:val="1"/>
    <w:autoRedefine/>
    <w:qFormat/>
    <w:uiPriority w:val="0"/>
    <w:pPr>
      <w:ind w:left="100" w:leftChars="2500"/>
    </w:pPr>
  </w:style>
  <w:style w:type="paragraph" w:styleId="7">
    <w:name w:val="Balloon Text"/>
    <w:basedOn w:val="1"/>
    <w:autoRedefine/>
    <w:qFormat/>
    <w:uiPriority w:val="0"/>
    <w:rPr>
      <w:sz w:val="18"/>
      <w:szCs w:val="18"/>
    </w:rPr>
  </w:style>
  <w:style w:type="paragraph" w:styleId="8">
    <w:name w:val="footer"/>
    <w:basedOn w:val="1"/>
    <w:link w:val="17"/>
    <w:autoRedefine/>
    <w:qFormat/>
    <w:uiPriority w:val="99"/>
    <w:pPr>
      <w:tabs>
        <w:tab w:val="center" w:pos="4153"/>
        <w:tab w:val="right" w:pos="8306"/>
      </w:tabs>
      <w:snapToGrid w:val="0"/>
      <w:jc w:val="left"/>
    </w:pPr>
    <w:rPr>
      <w:sz w:val="18"/>
      <w:szCs w:val="18"/>
    </w:rPr>
  </w:style>
  <w:style w:type="paragraph" w:styleId="9">
    <w:name w:val="header"/>
    <w:basedOn w:val="1"/>
    <w:link w:val="18"/>
    <w:autoRedefine/>
    <w:qFormat/>
    <w:uiPriority w:val="99"/>
    <w:pPr>
      <w:pBdr>
        <w:bottom w:val="single" w:color="auto" w:sz="6" w:space="1"/>
      </w:pBdr>
      <w:tabs>
        <w:tab w:val="center" w:pos="4153"/>
        <w:tab w:val="right" w:pos="8306"/>
      </w:tabs>
      <w:snapToGrid w:val="0"/>
      <w:jc w:val="center"/>
    </w:pPr>
    <w:rPr>
      <w:kern w:val="2"/>
      <w:sz w:val="18"/>
      <w:szCs w:val="18"/>
    </w:rPr>
  </w:style>
  <w:style w:type="paragraph" w:styleId="10">
    <w:name w:val="annotation subject"/>
    <w:basedOn w:val="4"/>
    <w:next w:val="4"/>
    <w:autoRedefine/>
    <w:qFormat/>
    <w:uiPriority w:val="0"/>
    <w:rPr>
      <w:b/>
      <w:bCs/>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autoRedefine/>
    <w:qFormat/>
    <w:uiPriority w:val="0"/>
  </w:style>
  <w:style w:type="character" w:styleId="15">
    <w:name w:val="Hyperlink"/>
    <w:autoRedefine/>
    <w:qFormat/>
    <w:uiPriority w:val="0"/>
    <w:rPr>
      <w:color w:val="0000FF"/>
      <w:u w:val="single"/>
    </w:rPr>
  </w:style>
  <w:style w:type="character" w:styleId="16">
    <w:name w:val="annotation reference"/>
    <w:autoRedefine/>
    <w:qFormat/>
    <w:uiPriority w:val="0"/>
    <w:rPr>
      <w:sz w:val="21"/>
      <w:szCs w:val="21"/>
    </w:rPr>
  </w:style>
  <w:style w:type="character" w:customStyle="1" w:styleId="17">
    <w:name w:val="页脚 Char"/>
    <w:link w:val="8"/>
    <w:autoRedefine/>
    <w:qFormat/>
    <w:uiPriority w:val="99"/>
    <w:rPr>
      <w:kern w:val="2"/>
      <w:sz w:val="18"/>
      <w:szCs w:val="18"/>
    </w:rPr>
  </w:style>
  <w:style w:type="character" w:customStyle="1" w:styleId="18">
    <w:name w:val="页眉 Char"/>
    <w:link w:val="9"/>
    <w:autoRedefine/>
    <w:qFormat/>
    <w:uiPriority w:val="99"/>
    <w:rPr>
      <w:kern w:val="2"/>
      <w:sz w:val="18"/>
      <w:szCs w:val="18"/>
    </w:rPr>
  </w:style>
  <w:style w:type="paragraph" w:customStyle="1" w:styleId="19">
    <w:name w:val="Chapter"/>
    <w:next w:val="1"/>
    <w:autoRedefine/>
    <w:qFormat/>
    <w:uiPriority w:val="99"/>
    <w:pPr>
      <w:keepNext/>
      <w:keepLines/>
      <w:widowControl w:val="0"/>
      <w:spacing w:before="300" w:after="300" w:line="241" w:lineRule="auto"/>
      <w:jc w:val="both"/>
    </w:pPr>
    <w:rPr>
      <w:rFonts w:ascii="Times New Roman" w:hAnsi="Times New Roman" w:eastAsia="宋体" w:cs="Times New Roman"/>
      <w:b/>
      <w:bCs/>
      <w:kern w:val="28"/>
      <w:sz w:val="24"/>
      <w:szCs w:val="24"/>
      <w:lang w:val="en-US" w:eastAsia="zh-CN" w:bidi="ar-SA"/>
    </w:rPr>
  </w:style>
  <w:style w:type="paragraph" w:customStyle="1" w:styleId="20">
    <w:name w:val=" Char Char Char Char"/>
    <w:basedOn w:val="1"/>
    <w:autoRedefine/>
    <w:qFormat/>
    <w:uiPriority w:val="0"/>
    <w:pPr>
      <w:widowControl/>
      <w:spacing w:before="312" w:beforeLines="100" w:after="160" w:afterLines="0" w:line="240" w:lineRule="exact"/>
      <w:jc w:val="left"/>
    </w:pPr>
    <w:rPr>
      <w:rFonts w:ascii="Verdana" w:hAnsi="Verdana"/>
      <w:kern w:val="0"/>
      <w:sz w:val="32"/>
      <w:szCs w:val="32"/>
      <w:lang w:eastAsia="en-US"/>
    </w:rPr>
  </w:style>
  <w:style w:type="paragraph" w:customStyle="1" w:styleId="2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
    <w:name w:val="1 Char"/>
    <w:basedOn w:val="1"/>
    <w:autoRedefine/>
    <w:qFormat/>
    <w:uiPriority w:val="0"/>
  </w:style>
  <w:style w:type="paragraph" w:customStyle="1" w:styleId="24">
    <w:name w:val=" Char"/>
    <w:basedOn w:val="1"/>
    <w:autoRedefine/>
    <w:qFormat/>
    <w:uiPriority w:val="0"/>
  </w:style>
  <w:style w:type="paragraph" w:customStyle="1" w:styleId="25">
    <w:name w:val="Table Text"/>
    <w:basedOn w:val="1"/>
    <w:semiHidden/>
    <w:qFormat/>
    <w:uiPriority w:val="0"/>
    <w:rPr>
      <w:rFonts w:ascii="宋体" w:hAnsi="宋体" w:eastAsia="宋体" w:cs="宋体"/>
      <w:sz w:val="21"/>
      <w:szCs w:val="21"/>
      <w:lang w:val="en-US" w:eastAsia="en-US" w:bidi="ar-SA"/>
    </w:rPr>
  </w:style>
  <w:style w:type="table" w:customStyle="1" w:styleId="2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22</Pages>
  <Words>24599</Words>
  <Characters>24857</Characters>
  <Lines>20</Lines>
  <Paragraphs>5</Paragraphs>
  <TotalTime>3</TotalTime>
  <ScaleCrop>false</ScaleCrop>
  <LinksUpToDate>false</LinksUpToDate>
  <CharactersWithSpaces>25258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2021-03-08T04:17:00Z</dcterms:created>
  <dc:creator>User</dc:creator>
  <cp:lastModifiedBy>李群</cp:lastModifiedBy>
  <cp:lastPrinted>2020-09-04T10:09:00Z</cp:lastPrinted>
  <dcterms:modified xsi:type="dcterms:W3CDTF">2025-06-06T07:10:57Z</dcterms:modified>
  <dc:title>证券代码：300238      证券简称：冠昊生物       公告编号：2011-</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AE67C2ADF3A647099F3E4FE62E50AFBC_13</vt:lpwstr>
  </property>
  <property fmtid="{D5CDD505-2E9C-101B-9397-08002B2CF9AE}" pid="4" name="KSOTemplateDocerSaveRecord">
    <vt:lpwstr>eyJoZGlkIjoiYWRlOTk1ZDM4MjkzZjgxMjZiN2M3ZjNmNDQ5NGIzZGYiLCJ1c2VySWQiOiIzNDI3ODI2OTEifQ==</vt:lpwstr>
  </property>
</Properties>
</file>