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FA60F">
      <w:pPr>
        <w:spacing w:line="500" w:lineRule="exact"/>
        <w:jc w:val="center"/>
        <w:rPr>
          <w:rFonts w:ascii="黑体" w:hAnsi="黑体" w:eastAsia="黑体"/>
          <w:sz w:val="30"/>
          <w:szCs w:val="30"/>
        </w:rPr>
      </w:pPr>
      <w:r>
        <w:rPr>
          <w:rFonts w:hint="eastAsia" w:ascii="黑体" w:hAnsi="黑体" w:eastAsia="黑体"/>
          <w:sz w:val="30"/>
          <w:szCs w:val="30"/>
        </w:rPr>
        <w:t>冠昊生物科技股份有限公司</w:t>
      </w:r>
    </w:p>
    <w:p w14:paraId="3A32883D">
      <w:pPr>
        <w:spacing w:line="500" w:lineRule="exact"/>
        <w:jc w:val="center"/>
        <w:rPr>
          <w:rFonts w:ascii="黑体" w:hAnsi="黑体" w:eastAsia="黑体"/>
          <w:sz w:val="30"/>
          <w:szCs w:val="30"/>
        </w:rPr>
      </w:pPr>
      <w:r>
        <w:rPr>
          <w:rFonts w:hint="eastAsia" w:ascii="黑体" w:hAnsi="黑体" w:eastAsia="黑体"/>
          <w:sz w:val="30"/>
          <w:szCs w:val="30"/>
        </w:rPr>
        <w:t>利润分配管理制度</w:t>
      </w:r>
    </w:p>
    <w:p w14:paraId="014BF597">
      <w:pPr>
        <w:spacing w:before="156" w:beforeLines="50"/>
        <w:jc w:val="center"/>
        <w:rPr>
          <w:rFonts w:ascii="宋体" w:hAnsi="宋体" w:eastAsia="宋体"/>
          <w:b/>
          <w:bCs/>
          <w:sz w:val="24"/>
          <w:szCs w:val="24"/>
        </w:rPr>
      </w:pPr>
      <w:r>
        <w:rPr>
          <w:rFonts w:hint="eastAsia" w:ascii="宋体" w:hAnsi="宋体" w:eastAsia="宋体"/>
          <w:b/>
          <w:bCs/>
          <w:sz w:val="24"/>
          <w:szCs w:val="24"/>
        </w:rPr>
        <w:t>第一章</w:t>
      </w:r>
      <w:r>
        <w:rPr>
          <w:rFonts w:ascii="宋体" w:hAnsi="宋体" w:eastAsia="宋体"/>
          <w:b/>
          <w:bCs/>
          <w:sz w:val="24"/>
          <w:szCs w:val="24"/>
        </w:rPr>
        <w:t xml:space="preserve">  总则</w:t>
      </w:r>
    </w:p>
    <w:p w14:paraId="4CC0CD9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为进一步健全冠昊生物科技股份有限公司(以下简称“</w:t>
      </w:r>
      <w:r>
        <w:rPr>
          <w:rFonts w:ascii="Times New Roman" w:hAnsi="Times New Roman" w:eastAsia="宋体"/>
          <w:sz w:val="24"/>
          <w:szCs w:val="24"/>
        </w:rPr>
        <w:t>公司</w:t>
      </w:r>
      <w:r>
        <w:rPr>
          <w:rFonts w:ascii="宋体" w:hAnsi="宋体" w:eastAsia="宋体"/>
          <w:sz w:val="24"/>
          <w:szCs w:val="24"/>
        </w:rPr>
        <w:t>”)</w:t>
      </w:r>
      <w:r>
        <w:rPr>
          <w:rFonts w:ascii="Times New Roman" w:hAnsi="Times New Roman" w:eastAsia="宋体"/>
          <w:sz w:val="24"/>
          <w:szCs w:val="24"/>
        </w:rPr>
        <w:t>分红决策和监督机制，积极回报投资者，</w:t>
      </w:r>
      <w:r>
        <w:rPr>
          <w:rFonts w:hint="eastAsia" w:ascii="Times New Roman" w:hAnsi="Times New Roman" w:eastAsia="宋体"/>
          <w:sz w:val="24"/>
          <w:szCs w:val="24"/>
        </w:rPr>
        <w:t>保护中小投资者合法权益，</w:t>
      </w:r>
      <w:r>
        <w:rPr>
          <w:rFonts w:ascii="Times New Roman" w:hAnsi="Times New Roman" w:eastAsia="宋体"/>
          <w:sz w:val="24"/>
          <w:szCs w:val="24"/>
        </w:rPr>
        <w:t>根据</w:t>
      </w:r>
      <w:r>
        <w:rPr>
          <w:rFonts w:hint="eastAsia" w:ascii="Times New Roman" w:hAnsi="Times New Roman" w:eastAsia="宋体"/>
          <w:sz w:val="24"/>
          <w:szCs w:val="24"/>
        </w:rPr>
        <w:t>《公司法》《证券法》</w:t>
      </w:r>
      <w:r>
        <w:rPr>
          <w:rFonts w:ascii="Times New Roman" w:hAnsi="Times New Roman" w:eastAsia="宋体"/>
          <w:sz w:val="24"/>
          <w:szCs w:val="24"/>
        </w:rPr>
        <w:t>《</w:t>
      </w:r>
      <w:r>
        <w:rPr>
          <w:rFonts w:hint="eastAsia" w:ascii="Times New Roman" w:hAnsi="Times New Roman" w:eastAsia="宋体"/>
          <w:sz w:val="24"/>
          <w:szCs w:val="24"/>
        </w:rPr>
        <w:t>上市公司监管指引第</w:t>
      </w:r>
      <w:r>
        <w:rPr>
          <w:rFonts w:ascii="Times New Roman" w:hAnsi="Times New Roman" w:eastAsia="宋体"/>
          <w:sz w:val="24"/>
          <w:szCs w:val="24"/>
        </w:rPr>
        <w:t>3号</w:t>
      </w:r>
      <w:r>
        <w:rPr>
          <w:rFonts w:hint="eastAsia" w:ascii="Times New Roman" w:hAnsi="Times New Roman" w:eastAsia="宋体"/>
          <w:sz w:val="24"/>
          <w:szCs w:val="24"/>
          <w:lang w:eastAsia="zh-CN"/>
        </w:rPr>
        <w:t>——</w:t>
      </w:r>
      <w:r>
        <w:rPr>
          <w:rFonts w:ascii="Times New Roman" w:hAnsi="Times New Roman" w:eastAsia="宋体"/>
          <w:sz w:val="24"/>
          <w:szCs w:val="24"/>
        </w:rPr>
        <w:t>上市公司现金分红（202</w:t>
      </w:r>
      <w:r>
        <w:rPr>
          <w:rFonts w:hint="eastAsia" w:ascii="Times New Roman" w:hAnsi="Times New Roman" w:eastAsia="宋体"/>
          <w:sz w:val="24"/>
          <w:szCs w:val="24"/>
          <w:lang w:val="en-US" w:eastAsia="zh-CN"/>
        </w:rPr>
        <w:t>5</w:t>
      </w:r>
      <w:r>
        <w:rPr>
          <w:rFonts w:hint="eastAsia" w:ascii="Times New Roman" w:hAnsi="Times New Roman" w:eastAsia="宋体"/>
          <w:sz w:val="24"/>
          <w:szCs w:val="24"/>
        </w:rPr>
        <w:t>年修订）》</w:t>
      </w:r>
      <w:r>
        <w:rPr>
          <w:rFonts w:ascii="Times New Roman" w:hAnsi="Times New Roman" w:eastAsia="宋体"/>
          <w:sz w:val="24"/>
          <w:szCs w:val="24"/>
        </w:rPr>
        <w:t>《深圳证券交易所创业板股票上市规则》</w:t>
      </w:r>
      <w:r>
        <w:rPr>
          <w:rFonts w:hint="eastAsia" w:ascii="Times New Roman" w:hAnsi="Times New Roman" w:eastAsia="宋体"/>
          <w:sz w:val="24"/>
          <w:szCs w:val="24"/>
        </w:rPr>
        <w:t>《深圳证券交易所上市公司自律监管指引第2</w:t>
      </w:r>
      <w:r>
        <w:rPr>
          <w:rFonts w:ascii="Times New Roman" w:hAnsi="Times New Roman" w:eastAsia="宋体"/>
          <w:sz w:val="24"/>
          <w:szCs w:val="24"/>
        </w:rPr>
        <w:t>号</w:t>
      </w:r>
      <w:r>
        <w:rPr>
          <w:rFonts w:hint="eastAsia" w:ascii="Times New Roman" w:hAnsi="Times New Roman" w:eastAsia="宋体"/>
          <w:sz w:val="24"/>
          <w:szCs w:val="24"/>
        </w:rPr>
        <w:t>——创业板上市公司规范运作》（以下简称《规范运作</w:t>
      </w:r>
      <w:r>
        <w:rPr>
          <w:rFonts w:hint="eastAsia" w:ascii="Times New Roman" w:hAnsi="Times New Roman" w:eastAsia="宋体"/>
          <w:sz w:val="24"/>
          <w:szCs w:val="24"/>
          <w:lang w:val="en-US" w:eastAsia="zh-CN"/>
        </w:rPr>
        <w:t>指引</w:t>
      </w:r>
      <w:r>
        <w:rPr>
          <w:rFonts w:hint="eastAsia" w:ascii="Times New Roman" w:hAnsi="Times New Roman" w:eastAsia="宋体"/>
          <w:sz w:val="24"/>
          <w:szCs w:val="24"/>
        </w:rPr>
        <w:t>》）等法律法规、规范性文件</w:t>
      </w:r>
      <w:r>
        <w:rPr>
          <w:rFonts w:hint="eastAsia" w:ascii="宋体" w:hAnsi="宋体" w:eastAsia="宋体"/>
          <w:sz w:val="24"/>
          <w:szCs w:val="24"/>
          <w:lang w:val="en-US" w:eastAsia="zh-CN"/>
        </w:rPr>
        <w:t>和</w:t>
      </w:r>
      <w:r>
        <w:rPr>
          <w:rFonts w:hint="eastAsia" w:ascii="宋体" w:hAnsi="宋体" w:eastAsia="宋体"/>
          <w:sz w:val="24"/>
          <w:szCs w:val="24"/>
        </w:rPr>
        <w:t>《公司章程》等有关规定，结合公司实际，制定本制度。</w:t>
      </w:r>
    </w:p>
    <w:p w14:paraId="4C53D2A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公司将进一步强化回报股东意识，严格依照《公司法》和《公司章</w:t>
      </w:r>
      <w:r>
        <w:rPr>
          <w:rFonts w:hint="eastAsia" w:ascii="宋体" w:hAnsi="宋体" w:eastAsia="宋体"/>
          <w:sz w:val="24"/>
          <w:szCs w:val="24"/>
        </w:rPr>
        <w:t>程》的规定，科学决策公司利润分配事项，制定明确的回报规划，充分维护公司股东依法享有的资产收益等权利，不断完善董事会、</w:t>
      </w:r>
      <w:r>
        <w:rPr>
          <w:rFonts w:hint="eastAsia" w:ascii="宋体" w:hAnsi="宋体" w:eastAsia="宋体"/>
          <w:sz w:val="24"/>
          <w:szCs w:val="24"/>
          <w:lang w:eastAsia="zh-CN"/>
        </w:rPr>
        <w:t>股东会</w:t>
      </w:r>
      <w:r>
        <w:rPr>
          <w:rFonts w:hint="eastAsia" w:ascii="宋体" w:hAnsi="宋体" w:eastAsia="宋体"/>
          <w:sz w:val="24"/>
          <w:szCs w:val="24"/>
        </w:rPr>
        <w:t>对公司利润分配事项的决策程序和机制。</w:t>
      </w:r>
    </w:p>
    <w:p w14:paraId="1C8798B6">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公司制定利润分配政策尤其是现金分红政策时，应当履行必要的决</w:t>
      </w:r>
      <w:r>
        <w:rPr>
          <w:rFonts w:hint="eastAsia" w:ascii="宋体" w:hAnsi="宋体" w:eastAsia="宋体"/>
          <w:sz w:val="24"/>
          <w:szCs w:val="24"/>
        </w:rPr>
        <w:t>策程序。董事会应当就股东回报事宜进行专项研究论证，制定明确、清晰的股东回报规划，并详细说明规划安排的理由等情况。公司应当通过多种渠道充分听取独立董事以及中小股东的意见，做好现金分红事项的信息披露工作。</w:t>
      </w:r>
    </w:p>
    <w:p w14:paraId="508E81C8">
      <w:pPr>
        <w:spacing w:before="156" w:beforeLines="50" w:line="360" w:lineRule="auto"/>
        <w:ind w:firstLine="482" w:firstLineChars="200"/>
        <w:jc w:val="center"/>
        <w:rPr>
          <w:rFonts w:hint="eastAsia" w:ascii="宋体" w:hAnsi="宋体" w:eastAsia="宋体"/>
          <w:b/>
          <w:bCs/>
          <w:sz w:val="24"/>
          <w:szCs w:val="24"/>
          <w:lang w:eastAsia="zh-CN"/>
        </w:rPr>
      </w:pPr>
      <w:r>
        <w:rPr>
          <w:rFonts w:hint="eastAsia" w:ascii="宋体" w:hAnsi="宋体" w:eastAsia="宋体"/>
          <w:b/>
          <w:bCs/>
          <w:sz w:val="24"/>
          <w:szCs w:val="24"/>
        </w:rPr>
        <w:t>第二章</w:t>
      </w:r>
      <w:r>
        <w:rPr>
          <w:rFonts w:ascii="宋体" w:hAnsi="宋体" w:eastAsia="宋体"/>
          <w:b/>
          <w:bCs/>
          <w:sz w:val="24"/>
          <w:szCs w:val="24"/>
        </w:rPr>
        <w:t xml:space="preserve">  公司利润</w:t>
      </w:r>
      <w:r>
        <w:rPr>
          <w:rFonts w:hint="eastAsia" w:ascii="宋体" w:hAnsi="宋体" w:eastAsia="宋体"/>
          <w:b/>
          <w:bCs/>
          <w:sz w:val="24"/>
          <w:szCs w:val="24"/>
          <w:lang w:val="en-US" w:eastAsia="zh-CN"/>
        </w:rPr>
        <w:t>分配顺序</w:t>
      </w:r>
    </w:p>
    <w:p w14:paraId="40BA25B6">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公司应当重视投资者特别是中小投资者的权益，制订利润分配政策。根据有关法律法规和《公司章程》</w:t>
      </w:r>
      <w:r>
        <w:rPr>
          <w:rFonts w:hint="eastAsia" w:ascii="宋体" w:hAnsi="宋体" w:eastAsia="宋体"/>
          <w:sz w:val="24"/>
          <w:szCs w:val="24"/>
          <w:lang w:val="en-US" w:eastAsia="zh-CN"/>
        </w:rPr>
        <w:t>规定</w:t>
      </w:r>
      <w:r>
        <w:rPr>
          <w:rFonts w:hint="eastAsia" w:ascii="宋体" w:hAnsi="宋体" w:eastAsia="宋体"/>
          <w:sz w:val="24"/>
          <w:szCs w:val="24"/>
        </w:rPr>
        <w:t>，公司税后利润按下列顺序分配：</w:t>
      </w:r>
    </w:p>
    <w:p w14:paraId="69080719">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（一）</w:t>
      </w:r>
      <w:r>
        <w:rPr>
          <w:rFonts w:ascii="宋体" w:hAnsi="宋体" w:eastAsia="宋体"/>
          <w:sz w:val="24"/>
          <w:szCs w:val="24"/>
        </w:rPr>
        <w:t>公司分配当年税后利润时，应</w:t>
      </w:r>
      <w:r>
        <w:rPr>
          <w:rFonts w:ascii="Times New Roman" w:hAnsi="Times New Roman" w:eastAsia="宋体"/>
          <w:sz w:val="24"/>
          <w:szCs w:val="24"/>
        </w:rPr>
        <w:t>当提取利润的10%列入公司法定公积金。公司法定公积金累计额</w:t>
      </w:r>
      <w:r>
        <w:rPr>
          <w:rFonts w:hint="eastAsia" w:ascii="Times New Roman" w:hAnsi="Times New Roman" w:eastAsia="宋体"/>
          <w:sz w:val="24"/>
          <w:szCs w:val="24"/>
          <w:lang w:val="en-US" w:eastAsia="zh-CN"/>
        </w:rPr>
        <w:t>达到</w:t>
      </w:r>
      <w:r>
        <w:rPr>
          <w:rFonts w:ascii="Times New Roman" w:hAnsi="Times New Roman" w:eastAsia="宋体"/>
          <w:sz w:val="24"/>
          <w:szCs w:val="24"/>
        </w:rPr>
        <w:t>公司注册资本的50%</w:t>
      </w:r>
      <w:r>
        <w:rPr>
          <w:rFonts w:ascii="宋体" w:hAnsi="宋体" w:eastAsia="宋体"/>
          <w:sz w:val="24"/>
          <w:szCs w:val="24"/>
        </w:rPr>
        <w:t>以上的，可以不再提取</w:t>
      </w:r>
      <w:r>
        <w:rPr>
          <w:rFonts w:hint="eastAsia" w:ascii="宋体" w:hAnsi="宋体" w:eastAsia="宋体"/>
          <w:sz w:val="24"/>
          <w:szCs w:val="24"/>
        </w:rPr>
        <w:t>；</w:t>
      </w:r>
    </w:p>
    <w:p w14:paraId="2A5C7EC8">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（二）公司的法定公积金不足以弥补以前年度亏损的，在依照前款规定提取法定公积金之前，应当先用当年利润弥补亏损；</w:t>
      </w:r>
    </w:p>
    <w:p w14:paraId="020C42AB">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（三）公司从税后利润中提取法定公积金后，经</w:t>
      </w:r>
      <w:r>
        <w:rPr>
          <w:rFonts w:hint="eastAsia" w:ascii="宋体" w:hAnsi="宋体" w:eastAsia="宋体"/>
          <w:sz w:val="24"/>
          <w:szCs w:val="24"/>
          <w:lang w:eastAsia="zh-CN"/>
        </w:rPr>
        <w:t>股东会</w:t>
      </w:r>
      <w:r>
        <w:rPr>
          <w:rFonts w:hint="eastAsia" w:ascii="宋体" w:hAnsi="宋体" w:eastAsia="宋体"/>
          <w:sz w:val="24"/>
          <w:szCs w:val="24"/>
        </w:rPr>
        <w:t>决议，还可以从税后利润中提取任意公积金；</w:t>
      </w:r>
    </w:p>
    <w:p w14:paraId="30CA61F6">
      <w:p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（四）公司弥补亏损和提取公积金后所余税后利润，按照股东持有的股份比例分配，但《公司章程》规定不按持股比例分配的除外。</w:t>
      </w:r>
    </w:p>
    <w:p w14:paraId="20FB9FC7">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lang w:eastAsia="zh-CN"/>
        </w:rPr>
        <w:t>股东会</w:t>
      </w:r>
      <w:r>
        <w:rPr>
          <w:rFonts w:hint="eastAsia" w:ascii="宋体" w:hAnsi="宋体" w:eastAsia="宋体"/>
          <w:sz w:val="24"/>
          <w:szCs w:val="24"/>
        </w:rPr>
        <w:t>违反</w:t>
      </w:r>
      <w:r>
        <w:rPr>
          <w:rFonts w:hint="eastAsia" w:ascii="宋体" w:hAnsi="宋体" w:eastAsia="宋体"/>
          <w:sz w:val="24"/>
          <w:szCs w:val="24"/>
          <w:lang w:eastAsia="zh-CN"/>
        </w:rPr>
        <w:t>《</w:t>
      </w:r>
      <w:r>
        <w:rPr>
          <w:rFonts w:hint="eastAsia" w:ascii="宋体" w:hAnsi="宋体" w:eastAsia="宋体"/>
          <w:sz w:val="24"/>
          <w:szCs w:val="24"/>
          <w:lang w:val="en-US" w:eastAsia="zh-CN"/>
        </w:rPr>
        <w:t>公司法</w:t>
      </w:r>
      <w:r>
        <w:rPr>
          <w:rFonts w:hint="eastAsia" w:ascii="宋体" w:hAnsi="宋体" w:eastAsia="宋体"/>
          <w:sz w:val="24"/>
          <w:szCs w:val="24"/>
          <w:lang w:eastAsia="zh-CN"/>
        </w:rPr>
        <w:t>》</w:t>
      </w:r>
      <w:r>
        <w:rPr>
          <w:rFonts w:hint="eastAsia" w:ascii="宋体" w:hAnsi="宋体" w:eastAsia="宋体"/>
          <w:sz w:val="24"/>
          <w:szCs w:val="24"/>
        </w:rPr>
        <w:t>规定向股东分配利润的，股东</w:t>
      </w:r>
      <w:r>
        <w:rPr>
          <w:rFonts w:hint="eastAsia" w:ascii="宋体" w:hAnsi="宋体" w:eastAsia="宋体"/>
          <w:sz w:val="24"/>
          <w:szCs w:val="24"/>
          <w:lang w:val="en-US" w:eastAsia="zh-CN"/>
        </w:rPr>
        <w:t>应当</w:t>
      </w:r>
      <w:r>
        <w:rPr>
          <w:rFonts w:hint="eastAsia" w:ascii="宋体" w:hAnsi="宋体" w:eastAsia="宋体"/>
          <w:sz w:val="24"/>
          <w:szCs w:val="24"/>
        </w:rPr>
        <w:t>将违反规定分配的利润退还公司；给公司造成损失的，股东及负有责任的董事、高级管理人员应当承担赔偿责任。</w:t>
      </w:r>
    </w:p>
    <w:p w14:paraId="32BCBE4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公司持有的本公司股份不参与分配利润。</w:t>
      </w:r>
    </w:p>
    <w:p w14:paraId="1DB1630C">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公司的公积金用于弥补公司的亏损、扩大公司生产经营或者转为增</w:t>
      </w:r>
      <w:r>
        <w:rPr>
          <w:rFonts w:hint="eastAsia" w:ascii="宋体" w:hAnsi="宋体" w:eastAsia="宋体"/>
          <w:sz w:val="24"/>
          <w:szCs w:val="24"/>
        </w:rPr>
        <w:t>加公司资本。公积金弥补公司亏损，先使用任意公积金和法定公积金；仍不能弥补的，可以按照规定使用资本公积金。</w:t>
      </w:r>
      <w:r>
        <w:rPr>
          <w:rFonts w:ascii="宋体" w:hAnsi="宋体" w:eastAsia="宋体"/>
          <w:sz w:val="24"/>
          <w:szCs w:val="24"/>
        </w:rPr>
        <w:t>法定公积金转为资本时，所留存的该项公积金不</w:t>
      </w:r>
      <w:r>
        <w:rPr>
          <w:rFonts w:hint="eastAsia" w:ascii="宋体" w:hAnsi="宋体" w:eastAsia="宋体"/>
          <w:sz w:val="24"/>
          <w:szCs w:val="24"/>
          <w:lang w:val="en-US" w:eastAsia="zh-CN"/>
        </w:rPr>
        <w:t>得</w:t>
      </w:r>
      <w:r>
        <w:rPr>
          <w:rFonts w:ascii="宋体" w:hAnsi="宋体" w:eastAsia="宋体"/>
          <w:sz w:val="24"/>
          <w:szCs w:val="24"/>
        </w:rPr>
        <w:t>少于转增前公司</w:t>
      </w:r>
      <w:r>
        <w:rPr>
          <w:rFonts w:hint="eastAsia" w:ascii="宋体" w:hAnsi="宋体" w:eastAsia="宋体"/>
          <w:sz w:val="24"/>
          <w:szCs w:val="24"/>
        </w:rPr>
        <w:t>注册资本的</w:t>
      </w:r>
      <w:r>
        <w:rPr>
          <w:rFonts w:ascii="Times New Roman" w:hAnsi="Times New Roman" w:eastAsia="宋体"/>
          <w:sz w:val="24"/>
          <w:szCs w:val="24"/>
        </w:rPr>
        <w:t>25%。</w:t>
      </w:r>
    </w:p>
    <w:p w14:paraId="2AEA9E70">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156" w:beforeLines="50" w:line="360" w:lineRule="auto"/>
        <w:ind w:left="420" w:leftChars="200" w:firstLine="0" w:firstLineChars="0"/>
        <w:jc w:val="center"/>
        <w:textAlignment w:val="auto"/>
        <w:rPr>
          <w:rFonts w:ascii="宋体" w:hAnsi="宋体" w:eastAsia="宋体"/>
          <w:sz w:val="24"/>
          <w:szCs w:val="24"/>
        </w:rPr>
      </w:pPr>
      <w:r>
        <w:rPr>
          <w:rFonts w:hint="eastAsia" w:ascii="宋体" w:hAnsi="宋体" w:eastAsia="宋体"/>
          <w:b/>
          <w:bCs/>
          <w:sz w:val="24"/>
          <w:szCs w:val="24"/>
          <w:lang w:val="en-US" w:eastAsia="zh-CN"/>
        </w:rPr>
        <w:t>第三章 公</w:t>
      </w:r>
      <w:r>
        <w:rPr>
          <w:rFonts w:ascii="宋体" w:hAnsi="宋体" w:eastAsia="宋体"/>
          <w:b/>
          <w:bCs/>
          <w:sz w:val="24"/>
          <w:szCs w:val="24"/>
        </w:rPr>
        <w:t>司利润分配政策</w:t>
      </w:r>
    </w:p>
    <w:p w14:paraId="70A7A6C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公司实行连续、稳定、积极的利润分配政策，公司的利润分配应重</w:t>
      </w:r>
      <w:r>
        <w:rPr>
          <w:rFonts w:hint="eastAsia" w:ascii="宋体" w:hAnsi="宋体" w:eastAsia="宋体"/>
          <w:sz w:val="24"/>
          <w:szCs w:val="24"/>
        </w:rPr>
        <w:t>视对投资者的合理回报并兼顾公司的可持续发展。公司采取现金、股票以及现金与股票相结合的方式分配股利，公司将优先考虑采取现金方式分配股利，在考虑实际经营情况的基础上，可采取股票或者现金股票相结合的方式分配股利。利润分配不得超过累计可分配利润的范围，不得损害公司持续经营能力。</w:t>
      </w:r>
    </w:p>
    <w:p w14:paraId="471B92C7">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公司主要采取现金分红的利润分配政策，即：</w:t>
      </w:r>
    </w:p>
    <w:p w14:paraId="7B0255F0">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一</w:t>
      </w:r>
      <w:r>
        <w:rPr>
          <w:rFonts w:hint="eastAsia" w:ascii="宋体" w:hAnsi="宋体" w:eastAsia="宋体"/>
          <w:sz w:val="24"/>
          <w:szCs w:val="24"/>
        </w:rPr>
        <w:t>）</w:t>
      </w:r>
      <w:r>
        <w:rPr>
          <w:rFonts w:ascii="宋体" w:hAnsi="宋体" w:eastAsia="宋体"/>
          <w:sz w:val="24"/>
          <w:szCs w:val="24"/>
        </w:rPr>
        <w:t>公司当年度实现盈利，在依法弥补亏损、提取法定公积金、盈余公积金</w:t>
      </w:r>
      <w:r>
        <w:rPr>
          <w:rFonts w:hint="eastAsia" w:ascii="宋体" w:hAnsi="宋体" w:eastAsia="宋体"/>
          <w:sz w:val="24"/>
          <w:szCs w:val="24"/>
        </w:rPr>
        <w:t>后</w:t>
      </w:r>
      <w:r>
        <w:rPr>
          <w:rFonts w:hint="eastAsia" w:ascii="宋体" w:hAnsi="宋体" w:eastAsia="宋体"/>
          <w:sz w:val="24"/>
          <w:szCs w:val="24"/>
          <w:lang w:eastAsia="zh-CN"/>
        </w:rPr>
        <w:t>，累计未分配利润为正</w:t>
      </w:r>
      <w:r>
        <w:rPr>
          <w:rFonts w:hint="eastAsia" w:ascii="宋体" w:hAnsi="宋体" w:eastAsia="宋体"/>
          <w:sz w:val="24"/>
          <w:szCs w:val="24"/>
        </w:rPr>
        <w:t>的，公司应当</w:t>
      </w:r>
      <w:r>
        <w:rPr>
          <w:rFonts w:hint="eastAsia" w:ascii="宋体" w:hAnsi="宋体" w:eastAsia="宋体"/>
          <w:sz w:val="24"/>
          <w:szCs w:val="24"/>
          <w:lang w:val="en-US" w:eastAsia="zh-CN"/>
        </w:rPr>
        <w:t>优先采用</w:t>
      </w:r>
      <w:r>
        <w:rPr>
          <w:rFonts w:hint="eastAsia" w:ascii="宋体" w:hAnsi="宋体" w:eastAsia="宋体"/>
          <w:sz w:val="24"/>
          <w:szCs w:val="24"/>
        </w:rPr>
        <w:t>现金分红；</w:t>
      </w:r>
    </w:p>
    <w:p w14:paraId="7D5BB184">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Times New Roman" w:hAnsi="Times New Roman" w:eastAsia="宋体"/>
          <w:sz w:val="24"/>
          <w:szCs w:val="24"/>
        </w:rPr>
      </w:pPr>
      <w:r>
        <w:rPr>
          <w:rFonts w:hint="eastAsia" w:ascii="宋体" w:hAnsi="宋体" w:eastAsia="宋体"/>
          <w:sz w:val="24"/>
          <w:szCs w:val="24"/>
        </w:rPr>
        <w:t>（</w:t>
      </w:r>
      <w:r>
        <w:rPr>
          <w:rFonts w:ascii="宋体" w:hAnsi="宋体" w:eastAsia="宋体"/>
          <w:sz w:val="24"/>
          <w:szCs w:val="24"/>
        </w:rPr>
        <w:t>二</w:t>
      </w:r>
      <w:r>
        <w:rPr>
          <w:rFonts w:hint="eastAsia" w:ascii="宋体" w:hAnsi="宋体" w:eastAsia="宋体"/>
          <w:sz w:val="24"/>
          <w:szCs w:val="24"/>
        </w:rPr>
        <w:t>）</w:t>
      </w:r>
      <w:r>
        <w:rPr>
          <w:rFonts w:ascii="宋体" w:hAnsi="宋体" w:eastAsia="宋体"/>
          <w:sz w:val="24"/>
          <w:szCs w:val="24"/>
        </w:rPr>
        <w:t>公司利润分配不得超过累计可分配利润的范围，如无重大投资计划或</w:t>
      </w:r>
      <w:r>
        <w:rPr>
          <w:rFonts w:ascii="Times New Roman" w:hAnsi="Times New Roman" w:eastAsia="宋体"/>
          <w:sz w:val="24"/>
          <w:szCs w:val="24"/>
        </w:rPr>
        <w:t>重大现金支出发生，</w:t>
      </w:r>
      <w:r>
        <w:rPr>
          <w:rFonts w:hint="eastAsia" w:ascii="Times New Roman" w:hAnsi="Times New Roman" w:eastAsia="宋体"/>
          <w:sz w:val="24"/>
          <w:szCs w:val="24"/>
        </w:rPr>
        <w:t>最近三年以现金方式累计分配的利润不少于最近三年实现的年均可分配利润的</w:t>
      </w:r>
      <w:r>
        <w:rPr>
          <w:rFonts w:ascii="Times New Roman" w:hAnsi="Times New Roman" w:eastAsia="宋体"/>
          <w:sz w:val="24"/>
          <w:szCs w:val="24"/>
        </w:rPr>
        <w:t>30%；</w:t>
      </w:r>
    </w:p>
    <w:p w14:paraId="49C2573A">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eastAsia="宋体"/>
          <w:sz w:val="24"/>
          <w:szCs w:val="24"/>
        </w:rPr>
      </w:pPr>
      <w:r>
        <w:rPr>
          <w:rFonts w:hint="eastAsia" w:ascii="宋体" w:hAnsi="宋体" w:eastAsia="宋体"/>
          <w:sz w:val="24"/>
          <w:szCs w:val="24"/>
        </w:rPr>
        <w:t>公司在实施上述现金分配股利的同时，可以派发红股。</w:t>
      </w:r>
    </w:p>
    <w:p w14:paraId="5A41D574">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重大投资计划或重大现金支出指以下情形之一：</w:t>
      </w:r>
    </w:p>
    <w:p w14:paraId="3A8FB294">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Times New Roman" w:hAnsi="Times New Roman" w:eastAsia="宋体"/>
          <w:sz w:val="24"/>
          <w:szCs w:val="24"/>
        </w:rPr>
      </w:pPr>
      <w:r>
        <w:rPr>
          <w:rFonts w:hint="eastAsia" w:ascii="宋体" w:hAnsi="宋体" w:eastAsia="宋体"/>
          <w:sz w:val="24"/>
          <w:szCs w:val="24"/>
        </w:rPr>
        <w:t>（</w:t>
      </w:r>
      <w:r>
        <w:rPr>
          <w:rFonts w:ascii="宋体" w:hAnsi="宋体" w:eastAsia="宋体"/>
          <w:sz w:val="24"/>
          <w:szCs w:val="24"/>
        </w:rPr>
        <w:t>一</w:t>
      </w:r>
      <w:r>
        <w:rPr>
          <w:rFonts w:hint="eastAsia" w:ascii="宋体" w:hAnsi="宋体" w:eastAsia="宋体"/>
          <w:sz w:val="24"/>
          <w:szCs w:val="24"/>
        </w:rPr>
        <w:t>）</w:t>
      </w:r>
      <w:r>
        <w:rPr>
          <w:rFonts w:ascii="宋体" w:hAnsi="宋体" w:eastAsia="宋体"/>
          <w:sz w:val="24"/>
          <w:szCs w:val="24"/>
        </w:rPr>
        <w:t>公司未来</w:t>
      </w:r>
      <w:r>
        <w:rPr>
          <w:rFonts w:hint="eastAsia" w:ascii="宋体" w:hAnsi="宋体" w:eastAsia="宋体"/>
          <w:sz w:val="24"/>
          <w:szCs w:val="24"/>
          <w:lang w:val="en-US" w:eastAsia="zh-CN"/>
        </w:rPr>
        <w:t>12</w:t>
      </w:r>
      <w:r>
        <w:rPr>
          <w:rFonts w:ascii="宋体" w:hAnsi="宋体" w:eastAsia="宋体"/>
          <w:sz w:val="24"/>
          <w:szCs w:val="24"/>
        </w:rPr>
        <w:t>个月内拟对外投资、收购资产或购买设备累计支出达到</w:t>
      </w:r>
      <w:r>
        <w:rPr>
          <w:rFonts w:ascii="Times New Roman" w:hAnsi="Times New Roman" w:eastAsia="宋体"/>
          <w:sz w:val="24"/>
          <w:szCs w:val="24"/>
        </w:rPr>
        <w:t>或超过公司最近一期经审计净资产的</w:t>
      </w:r>
      <w:r>
        <w:rPr>
          <w:rFonts w:hint="eastAsia" w:ascii="Times New Roman" w:hAnsi="Times New Roman" w:eastAsia="宋体"/>
          <w:sz w:val="24"/>
          <w:szCs w:val="24"/>
        </w:rPr>
        <w:t>25</w:t>
      </w:r>
      <w:r>
        <w:rPr>
          <w:rFonts w:ascii="Times New Roman" w:hAnsi="Times New Roman" w:eastAsia="宋体"/>
          <w:sz w:val="24"/>
          <w:szCs w:val="24"/>
        </w:rPr>
        <w:t>%，且超过5,000万元；</w:t>
      </w:r>
    </w:p>
    <w:p w14:paraId="63A162F5">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二</w:t>
      </w:r>
      <w:r>
        <w:rPr>
          <w:rFonts w:hint="eastAsia" w:ascii="宋体" w:hAnsi="宋体" w:eastAsia="宋体"/>
          <w:sz w:val="24"/>
          <w:szCs w:val="24"/>
        </w:rPr>
        <w:t>）</w:t>
      </w:r>
      <w:r>
        <w:rPr>
          <w:rFonts w:ascii="宋体" w:hAnsi="宋体" w:eastAsia="宋体"/>
          <w:sz w:val="24"/>
          <w:szCs w:val="24"/>
        </w:rPr>
        <w:t>公司未来</w:t>
      </w:r>
      <w:r>
        <w:rPr>
          <w:rFonts w:hint="eastAsia" w:ascii="宋体" w:hAnsi="宋体" w:eastAsia="宋体"/>
          <w:sz w:val="24"/>
          <w:szCs w:val="24"/>
          <w:lang w:val="en-US" w:eastAsia="zh-CN"/>
        </w:rPr>
        <w:t>12</w:t>
      </w:r>
      <w:r>
        <w:rPr>
          <w:rFonts w:ascii="宋体" w:hAnsi="宋体" w:eastAsia="宋体"/>
          <w:sz w:val="24"/>
          <w:szCs w:val="24"/>
        </w:rPr>
        <w:t>个月内拟对外投资、收购资产或购买设备累计支出达到或</w:t>
      </w:r>
      <w:r>
        <w:rPr>
          <w:rFonts w:hint="eastAsia" w:ascii="宋体" w:hAnsi="宋体" w:eastAsia="宋体"/>
          <w:sz w:val="24"/>
          <w:szCs w:val="24"/>
        </w:rPr>
        <w:t>超过公司最近一期经审计总资产的</w:t>
      </w:r>
      <w:r>
        <w:rPr>
          <w:rFonts w:hint="eastAsia" w:ascii="Times New Roman" w:hAnsi="Times New Roman" w:eastAsia="宋体"/>
          <w:sz w:val="24"/>
          <w:szCs w:val="24"/>
        </w:rPr>
        <w:t>2</w:t>
      </w:r>
      <w:r>
        <w:rPr>
          <w:rFonts w:ascii="Times New Roman" w:hAnsi="Times New Roman" w:eastAsia="宋体"/>
          <w:sz w:val="24"/>
          <w:szCs w:val="24"/>
        </w:rPr>
        <w:t>0%</w:t>
      </w:r>
      <w:r>
        <w:rPr>
          <w:rFonts w:ascii="宋体" w:hAnsi="宋体" w:eastAsia="宋体"/>
          <w:sz w:val="24"/>
          <w:szCs w:val="24"/>
        </w:rPr>
        <w:t>。</w:t>
      </w:r>
    </w:p>
    <w:p w14:paraId="24AE66D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公司制定利润分配方案时，应当以</w:t>
      </w:r>
      <w:r>
        <w:rPr>
          <w:rFonts w:hint="eastAsia" w:ascii="宋体" w:hAnsi="宋体" w:eastAsia="宋体"/>
          <w:sz w:val="24"/>
          <w:szCs w:val="24"/>
          <w:lang w:val="en-US" w:eastAsia="zh-CN"/>
        </w:rPr>
        <w:t>最近一期经审计</w:t>
      </w:r>
      <w:bookmarkStart w:id="0" w:name="_GoBack"/>
      <w:bookmarkEnd w:id="0"/>
      <w:r>
        <w:rPr>
          <w:rFonts w:ascii="宋体" w:hAnsi="宋体" w:eastAsia="宋体"/>
          <w:sz w:val="24"/>
          <w:szCs w:val="24"/>
        </w:rPr>
        <w:t>母公司报表中可供分配利润为依据。同时，为避免出现超分配的情况，公司应当以合并报表、母公司报表中可供分配利润孰低的原则来确定具体的利润分配总额和比例。公司分配利润，应</w:t>
      </w:r>
      <w:r>
        <w:rPr>
          <w:rFonts w:ascii="Times New Roman" w:hAnsi="Times New Roman" w:eastAsia="宋体"/>
          <w:sz w:val="24"/>
          <w:szCs w:val="24"/>
        </w:rPr>
        <w:t>以每10股表述分红派息、转增股本的比例，股本基数应当以方案实施前的实际股本为准。如扣税的，说明扣税后每10</w:t>
      </w:r>
      <w:r>
        <w:rPr>
          <w:rFonts w:ascii="宋体" w:hAnsi="宋体" w:eastAsia="宋体"/>
          <w:sz w:val="24"/>
          <w:szCs w:val="24"/>
        </w:rPr>
        <w:t>股实际分红派息的金额、数量，并在分配时按有关法律和行政法规代扣代缴股东股利收入的应纳税金。</w:t>
      </w:r>
    </w:p>
    <w:p w14:paraId="4026091C">
      <w:pPr>
        <w:spacing w:before="156" w:beforeLines="50" w:line="360" w:lineRule="auto"/>
        <w:ind w:firstLine="482" w:firstLineChars="200"/>
        <w:jc w:val="center"/>
        <w:rPr>
          <w:rFonts w:ascii="宋体" w:hAnsi="宋体" w:eastAsia="宋体"/>
          <w:b/>
          <w:bCs/>
          <w:sz w:val="24"/>
          <w:szCs w:val="24"/>
        </w:rPr>
      </w:pPr>
      <w:r>
        <w:rPr>
          <w:rFonts w:ascii="宋体" w:hAnsi="宋体" w:eastAsia="宋体"/>
          <w:b/>
          <w:bCs/>
          <w:sz w:val="24"/>
          <w:szCs w:val="24"/>
        </w:rPr>
        <w:t>第</w:t>
      </w:r>
      <w:r>
        <w:rPr>
          <w:rFonts w:hint="eastAsia" w:ascii="宋体" w:hAnsi="宋体" w:eastAsia="宋体"/>
          <w:b/>
          <w:bCs/>
          <w:sz w:val="24"/>
          <w:szCs w:val="24"/>
          <w:lang w:val="en-US" w:eastAsia="zh-CN"/>
        </w:rPr>
        <w:t>四</w:t>
      </w:r>
      <w:r>
        <w:rPr>
          <w:rFonts w:ascii="宋体" w:hAnsi="宋体" w:eastAsia="宋体"/>
          <w:b/>
          <w:bCs/>
          <w:sz w:val="24"/>
          <w:szCs w:val="24"/>
        </w:rPr>
        <w:t>章 股东回报规划</w:t>
      </w:r>
    </w:p>
    <w:p w14:paraId="16D2847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公司综合考虑盈利情况、资金需求、发展目标和股东合理回报等因素，至少每三年重新审阅一次股东回报规划。 </w:t>
      </w:r>
    </w:p>
    <w:p w14:paraId="29EDE55D">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公司应通过多种渠道充分考虑和听取股东(特别是</w:t>
      </w:r>
      <w:r>
        <w:rPr>
          <w:rFonts w:hint="eastAsia" w:ascii="宋体" w:hAnsi="宋体" w:eastAsia="宋体"/>
          <w:sz w:val="24"/>
          <w:szCs w:val="24"/>
          <w:lang w:val="en-US" w:eastAsia="zh-CN"/>
        </w:rPr>
        <w:t>中小</w:t>
      </w:r>
      <w:r>
        <w:rPr>
          <w:rFonts w:ascii="宋体" w:hAnsi="宋体" w:eastAsia="宋体"/>
          <w:sz w:val="24"/>
          <w:szCs w:val="24"/>
        </w:rPr>
        <w:t xml:space="preserve">投资者)、独立董事的意见，对公司正在实施的股利分配政策作出适当且必要的修改，以确定该时段的股东回报计划。 </w:t>
      </w:r>
    </w:p>
    <w:p w14:paraId="396E2D1F">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公司将保持股利分配政策的连续性、稳定性，如果变更股利分配政策，</w:t>
      </w:r>
      <w:r>
        <w:rPr>
          <w:rFonts w:hint="eastAsia" w:ascii="宋体" w:hAnsi="宋体" w:eastAsia="宋体"/>
          <w:sz w:val="24"/>
          <w:szCs w:val="24"/>
        </w:rPr>
        <w:t>需经董事会审议通过后提交股东会审议</w:t>
      </w:r>
      <w:r>
        <w:rPr>
          <w:rFonts w:ascii="宋体" w:hAnsi="宋体" w:eastAsia="宋体"/>
          <w:sz w:val="24"/>
          <w:szCs w:val="24"/>
        </w:rPr>
        <w:t>。</w:t>
      </w:r>
    </w:p>
    <w:p w14:paraId="29140907">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w:t>
      </w:r>
      <w:r>
        <w:rPr>
          <w:rFonts w:hint="eastAsia" w:ascii="宋体" w:hAnsi="宋体" w:eastAsia="宋体"/>
          <w:b/>
          <w:bCs/>
          <w:sz w:val="24"/>
          <w:szCs w:val="24"/>
          <w:lang w:val="en-US" w:eastAsia="zh-CN"/>
        </w:rPr>
        <w:t>五</w:t>
      </w:r>
      <w:r>
        <w:rPr>
          <w:rFonts w:hint="eastAsia" w:ascii="宋体" w:hAnsi="宋体" w:eastAsia="宋体"/>
          <w:b/>
          <w:bCs/>
          <w:sz w:val="24"/>
          <w:szCs w:val="24"/>
        </w:rPr>
        <w:t>章</w:t>
      </w:r>
      <w:r>
        <w:rPr>
          <w:rFonts w:ascii="宋体" w:hAnsi="宋体" w:eastAsia="宋体"/>
          <w:b/>
          <w:bCs/>
          <w:sz w:val="24"/>
          <w:szCs w:val="24"/>
        </w:rPr>
        <w:t xml:space="preserve"> 利润分配决策机制</w:t>
      </w:r>
    </w:p>
    <w:p w14:paraId="4939C396">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jc w:val="both"/>
        <w:textAlignment w:val="auto"/>
        <w:rPr>
          <w:rFonts w:ascii="宋体" w:hAnsi="宋体" w:eastAsia="宋体"/>
          <w:sz w:val="24"/>
          <w:szCs w:val="24"/>
        </w:rPr>
      </w:pPr>
      <w:r>
        <w:rPr>
          <w:rFonts w:ascii="宋体" w:hAnsi="宋体" w:eastAsia="宋体"/>
          <w:sz w:val="24"/>
          <w:szCs w:val="24"/>
        </w:rPr>
        <w:t xml:space="preserve"> 公司进行利润分配时，应当由公司董事会结合公司</w:t>
      </w:r>
      <w:r>
        <w:rPr>
          <w:rFonts w:hint="eastAsia" w:ascii="宋体" w:hAnsi="宋体" w:eastAsia="宋体"/>
          <w:sz w:val="24"/>
          <w:szCs w:val="24"/>
        </w:rPr>
        <w:t>具体经营数据、盈利规模、现金流量状况、发展规划及下阶段资金需求，并充分听取股东（特别是中小股东）和独立董事的意见。</w:t>
      </w:r>
    </w:p>
    <w:p w14:paraId="79108C7F">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公司董事会在利润分配预案论证过程中，</w:t>
      </w:r>
      <w:r>
        <w:rPr>
          <w:rFonts w:hint="eastAsia" w:ascii="宋体" w:hAnsi="宋体" w:eastAsia="宋体"/>
          <w:sz w:val="24"/>
          <w:szCs w:val="24"/>
        </w:rPr>
        <w:t>在符合</w:t>
      </w:r>
      <w:r>
        <w:rPr>
          <w:rFonts w:hint="eastAsia" w:ascii="宋体" w:hAnsi="宋体" w:eastAsia="宋体"/>
          <w:sz w:val="24"/>
          <w:szCs w:val="24"/>
          <w:lang w:eastAsia="zh-CN"/>
        </w:rPr>
        <w:t>《</w:t>
      </w:r>
      <w:r>
        <w:rPr>
          <w:rFonts w:hint="eastAsia" w:ascii="宋体" w:hAnsi="宋体" w:eastAsia="宋体"/>
          <w:sz w:val="24"/>
          <w:szCs w:val="24"/>
          <w:lang w:val="en-US" w:eastAsia="zh-CN"/>
        </w:rPr>
        <w:t>公</w:t>
      </w:r>
      <w:r>
        <w:rPr>
          <w:rFonts w:hint="eastAsia" w:ascii="宋体" w:hAnsi="宋体" w:eastAsia="宋体"/>
          <w:sz w:val="24"/>
          <w:szCs w:val="24"/>
        </w:rPr>
        <w:t>司章程</w:t>
      </w:r>
      <w:r>
        <w:rPr>
          <w:rFonts w:hint="eastAsia" w:ascii="宋体" w:hAnsi="宋体" w:eastAsia="宋体"/>
          <w:sz w:val="24"/>
          <w:szCs w:val="24"/>
          <w:lang w:eastAsia="zh-CN"/>
        </w:rPr>
        <w:t>》</w:t>
      </w:r>
      <w:r>
        <w:rPr>
          <w:rFonts w:hint="eastAsia" w:ascii="宋体" w:hAnsi="宋体" w:eastAsia="宋体"/>
          <w:sz w:val="24"/>
          <w:szCs w:val="24"/>
        </w:rPr>
        <w:t>既定的利润分配政策的前提下，</w:t>
      </w:r>
      <w:r>
        <w:rPr>
          <w:rFonts w:ascii="宋体" w:hAnsi="宋体" w:eastAsia="宋体"/>
          <w:sz w:val="24"/>
          <w:szCs w:val="24"/>
        </w:rPr>
        <w:t>应当认真研究和论证公</w:t>
      </w:r>
      <w:r>
        <w:rPr>
          <w:rFonts w:hint="eastAsia" w:ascii="宋体" w:hAnsi="宋体" w:eastAsia="宋体"/>
          <w:sz w:val="24"/>
          <w:szCs w:val="24"/>
        </w:rPr>
        <w:t>司现金分红的时机、条件和比例，提出年度或中期利润分配预案，独立董事在制定现金分红预案时</w:t>
      </w:r>
      <w:r>
        <w:rPr>
          <w:rFonts w:hint="eastAsia" w:ascii="宋体" w:hAnsi="宋体" w:eastAsia="宋体"/>
          <w:sz w:val="24"/>
          <w:szCs w:val="24"/>
          <w:lang w:val="en-US" w:eastAsia="zh-CN"/>
        </w:rPr>
        <w:t>应</w:t>
      </w:r>
      <w:r>
        <w:rPr>
          <w:rFonts w:hint="eastAsia" w:ascii="宋体" w:hAnsi="宋体" w:eastAsia="宋体"/>
          <w:sz w:val="24"/>
          <w:szCs w:val="24"/>
        </w:rPr>
        <w:t>发表明确意见。</w:t>
      </w:r>
    </w:p>
    <w:p w14:paraId="307751F8">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hint="eastAsia" w:ascii="宋体" w:hAnsi="宋体" w:eastAsia="宋体"/>
          <w:sz w:val="24"/>
          <w:szCs w:val="24"/>
        </w:rPr>
        <w:t>独立董事认为现金分红具体方案可能损害公司或者中小股东权益的，有权发表独立意见。董事会对独立董事的意见未采纳或者未完全采纳的，应当在董事会决议中记载独立董事的意见及未采纳的具体理由，并披露。</w:t>
      </w:r>
    </w:p>
    <w:p w14:paraId="6A86B929">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eastAsia="宋体"/>
          <w:sz w:val="24"/>
          <w:szCs w:val="24"/>
        </w:rPr>
      </w:pPr>
      <w:r>
        <w:rPr>
          <w:rFonts w:hint="eastAsia" w:ascii="宋体" w:hAnsi="宋体" w:eastAsia="宋体"/>
          <w:sz w:val="24"/>
          <w:szCs w:val="24"/>
        </w:rPr>
        <w:t>独立董事可以征集中小股东的意见，提出分红预案，并直接提交董事会审议。</w:t>
      </w:r>
    </w:p>
    <w:p w14:paraId="042B921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2" w:firstLineChars="200"/>
        <w:textAlignment w:val="auto"/>
        <w:rPr>
          <w:rFonts w:ascii="宋体" w:hAnsi="宋体" w:eastAsia="宋体"/>
          <w:sz w:val="24"/>
          <w:szCs w:val="24"/>
        </w:rPr>
      </w:pPr>
      <w:r>
        <w:rPr>
          <w:rFonts w:ascii="宋体" w:hAnsi="宋体" w:eastAsia="宋体"/>
          <w:b/>
          <w:bCs/>
          <w:sz w:val="24"/>
          <w:szCs w:val="24"/>
        </w:rPr>
        <w:t xml:space="preserve"> </w:t>
      </w:r>
      <w:r>
        <w:rPr>
          <w:rFonts w:ascii="宋体" w:hAnsi="宋体" w:eastAsia="宋体"/>
          <w:sz w:val="24"/>
          <w:szCs w:val="24"/>
        </w:rPr>
        <w:t>公司董事会制定具体的利润分配预案时，应遵守法律法规和</w:t>
      </w:r>
      <w:r>
        <w:rPr>
          <w:rFonts w:hint="eastAsia" w:ascii="宋体" w:hAnsi="宋体" w:eastAsia="宋体"/>
          <w:sz w:val="24"/>
          <w:szCs w:val="24"/>
        </w:rPr>
        <w:t>《公司</w:t>
      </w:r>
      <w:r>
        <w:rPr>
          <w:rFonts w:ascii="宋体" w:hAnsi="宋体" w:eastAsia="宋体"/>
          <w:sz w:val="24"/>
          <w:szCs w:val="24"/>
        </w:rPr>
        <w:t>章程</w:t>
      </w:r>
      <w:r>
        <w:rPr>
          <w:rFonts w:hint="eastAsia" w:ascii="宋体" w:hAnsi="宋体" w:eastAsia="宋体"/>
          <w:sz w:val="24"/>
          <w:szCs w:val="24"/>
        </w:rPr>
        <w:t>》</w:t>
      </w:r>
      <w:r>
        <w:rPr>
          <w:rFonts w:ascii="宋体" w:hAnsi="宋体" w:eastAsia="宋体"/>
          <w:sz w:val="24"/>
          <w:szCs w:val="24"/>
        </w:rPr>
        <w:t>规定的利润分配政策；</w:t>
      </w:r>
      <w:r>
        <w:rPr>
          <w:rFonts w:hint="eastAsia" w:ascii="宋体" w:hAnsi="宋体" w:eastAsia="宋体"/>
          <w:sz w:val="24"/>
          <w:szCs w:val="24"/>
        </w:rPr>
        <w:t>利润分配预案应经公司董事会审议通过后方能提交</w:t>
      </w:r>
      <w:r>
        <w:rPr>
          <w:rFonts w:hint="eastAsia" w:ascii="宋体" w:hAnsi="宋体" w:eastAsia="宋体"/>
          <w:sz w:val="24"/>
          <w:szCs w:val="24"/>
          <w:lang w:eastAsia="zh-CN"/>
        </w:rPr>
        <w:t>股东会</w:t>
      </w:r>
      <w:r>
        <w:rPr>
          <w:rFonts w:hint="eastAsia" w:ascii="宋体" w:hAnsi="宋体" w:eastAsia="宋体"/>
          <w:sz w:val="24"/>
          <w:szCs w:val="24"/>
        </w:rPr>
        <w:t>审议。</w:t>
      </w:r>
    </w:p>
    <w:p w14:paraId="1D90A64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b/>
          <w:bCs/>
          <w:sz w:val="24"/>
          <w:szCs w:val="24"/>
        </w:rPr>
      </w:pPr>
      <w:r>
        <w:rPr>
          <w:rFonts w:ascii="宋体" w:hAnsi="宋体" w:eastAsia="宋体"/>
          <w:sz w:val="24"/>
          <w:szCs w:val="24"/>
        </w:rPr>
        <w:t xml:space="preserve"> </w:t>
      </w:r>
      <w:r>
        <w:rPr>
          <w:rFonts w:hint="eastAsia" w:ascii="宋体" w:hAnsi="宋体" w:eastAsia="宋体"/>
          <w:sz w:val="24"/>
          <w:szCs w:val="24"/>
          <w:lang w:eastAsia="zh-CN"/>
        </w:rPr>
        <w:t>股东会</w:t>
      </w:r>
      <w:r>
        <w:rPr>
          <w:rFonts w:hint="eastAsia" w:ascii="宋体" w:hAnsi="宋体" w:eastAsia="宋体"/>
          <w:sz w:val="24"/>
          <w:szCs w:val="24"/>
        </w:rPr>
        <w:t>对利润分配预案进行审议前，公司应当通过多种渠道主动与股东特别是中小股东沟通交流，充分听取中小股东的意见和诉求，并及时答复中小股东关心的问题。</w:t>
      </w:r>
    </w:p>
    <w:p w14:paraId="53FE770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董事会审议通过利润分配政策相关议案的，应经董事会全体董事</w:t>
      </w:r>
      <w:r>
        <w:rPr>
          <w:rFonts w:hint="eastAsia" w:ascii="宋体" w:hAnsi="宋体" w:eastAsia="宋体"/>
          <w:sz w:val="24"/>
          <w:szCs w:val="24"/>
        </w:rPr>
        <w:t>过半数以上表决同意，且经全体独立董事</w:t>
      </w:r>
      <w:r>
        <w:rPr>
          <w:rFonts w:ascii="Times New Roman" w:hAnsi="Times New Roman" w:eastAsia="宋体"/>
          <w:sz w:val="24"/>
          <w:szCs w:val="24"/>
        </w:rPr>
        <w:t>1/2</w:t>
      </w:r>
      <w:r>
        <w:rPr>
          <w:rFonts w:hint="eastAsia" w:ascii="宋体" w:hAnsi="宋体" w:eastAsia="宋体"/>
          <w:sz w:val="24"/>
          <w:szCs w:val="24"/>
        </w:rPr>
        <w:t>以上表决同意。</w:t>
      </w:r>
    </w:p>
    <w:p w14:paraId="7093F1C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lang w:eastAsia="zh-CN"/>
        </w:rPr>
        <w:t>股东会</w:t>
      </w:r>
      <w:r>
        <w:rPr>
          <w:rFonts w:hint="eastAsia" w:ascii="宋体" w:hAnsi="宋体" w:eastAsia="宋体"/>
          <w:sz w:val="24"/>
          <w:szCs w:val="24"/>
        </w:rPr>
        <w:t>在审议利润分配方案时，须经出席</w:t>
      </w:r>
      <w:r>
        <w:rPr>
          <w:rFonts w:hint="eastAsia" w:ascii="宋体" w:hAnsi="宋体" w:eastAsia="宋体"/>
          <w:sz w:val="24"/>
          <w:szCs w:val="24"/>
          <w:lang w:eastAsia="zh-CN"/>
        </w:rPr>
        <w:t>股东会</w:t>
      </w:r>
      <w:r>
        <w:rPr>
          <w:rFonts w:hint="eastAsia" w:ascii="宋体" w:hAnsi="宋体" w:eastAsia="宋体"/>
          <w:sz w:val="24"/>
          <w:szCs w:val="24"/>
        </w:rPr>
        <w:t>的股东所持表决权的</w:t>
      </w:r>
      <w:r>
        <w:rPr>
          <w:rFonts w:ascii="Times New Roman" w:hAnsi="Times New Roman" w:eastAsia="宋体"/>
          <w:sz w:val="24"/>
          <w:szCs w:val="24"/>
        </w:rPr>
        <w:t>1/2</w:t>
      </w:r>
      <w:r>
        <w:rPr>
          <w:rFonts w:hint="eastAsia" w:ascii="宋体" w:hAnsi="宋体" w:eastAsia="宋体"/>
          <w:sz w:val="24"/>
          <w:szCs w:val="24"/>
        </w:rPr>
        <w:t>以上表决同意；</w:t>
      </w:r>
      <w:r>
        <w:rPr>
          <w:rFonts w:hint="eastAsia" w:ascii="宋体" w:hAnsi="宋体" w:eastAsia="宋体"/>
          <w:sz w:val="24"/>
          <w:szCs w:val="24"/>
          <w:lang w:eastAsia="zh-CN"/>
        </w:rPr>
        <w:t>股东会</w:t>
      </w:r>
      <w:r>
        <w:rPr>
          <w:rFonts w:hint="eastAsia" w:ascii="宋体" w:hAnsi="宋体" w:eastAsia="宋体"/>
          <w:sz w:val="24"/>
          <w:szCs w:val="24"/>
        </w:rPr>
        <w:t>在表决时，应向股东提供网络投票方式。</w:t>
      </w:r>
    </w:p>
    <w:p w14:paraId="2411CA7E">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公司董事会在审议调整利润分配政策时，须经全体董事过半数表决同意，且经公司</w:t>
      </w:r>
      <w:r>
        <w:rPr>
          <w:rFonts w:ascii="Times New Roman" w:hAnsi="Times New Roman" w:eastAsia="宋体"/>
          <w:sz w:val="24"/>
          <w:szCs w:val="24"/>
        </w:rPr>
        <w:t>1/2</w:t>
      </w:r>
      <w:r>
        <w:rPr>
          <w:rFonts w:hint="eastAsia" w:ascii="宋体" w:hAnsi="宋体" w:eastAsia="宋体"/>
          <w:sz w:val="24"/>
          <w:szCs w:val="24"/>
        </w:rPr>
        <w:t>以上独立董事表决同意，并由</w:t>
      </w:r>
      <w:r>
        <w:rPr>
          <w:rFonts w:hint="eastAsia" w:ascii="宋体" w:hAnsi="宋体" w:eastAsia="宋体"/>
          <w:sz w:val="24"/>
          <w:szCs w:val="24"/>
          <w:lang w:val="en-US" w:eastAsia="zh-CN"/>
        </w:rPr>
        <w:t>审计委员会</w:t>
      </w:r>
      <w:r>
        <w:rPr>
          <w:rFonts w:hint="eastAsia" w:ascii="宋体" w:hAnsi="宋体" w:eastAsia="宋体"/>
          <w:sz w:val="24"/>
          <w:szCs w:val="24"/>
        </w:rPr>
        <w:t>发表意见。</w:t>
      </w:r>
    </w:p>
    <w:p w14:paraId="44A39E3D">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Times New Roman" w:hAnsi="Times New Roman" w:eastAsia="宋体"/>
          <w:sz w:val="24"/>
          <w:szCs w:val="24"/>
        </w:rPr>
      </w:pPr>
      <w:r>
        <w:rPr>
          <w:rFonts w:ascii="宋体" w:hAnsi="宋体" w:eastAsia="宋体"/>
          <w:sz w:val="24"/>
          <w:szCs w:val="24"/>
        </w:rPr>
        <w:t xml:space="preserve"> 有关调整利润分配政策的议案，由独立董事、</w:t>
      </w:r>
      <w:r>
        <w:rPr>
          <w:rFonts w:hint="eastAsia" w:ascii="宋体" w:hAnsi="宋体" w:eastAsia="宋体"/>
          <w:sz w:val="24"/>
          <w:szCs w:val="24"/>
          <w:lang w:val="en-US" w:eastAsia="zh-CN"/>
        </w:rPr>
        <w:t>审计委员会</w:t>
      </w:r>
      <w:r>
        <w:rPr>
          <w:rFonts w:ascii="宋体" w:hAnsi="宋体" w:eastAsia="宋体"/>
          <w:sz w:val="24"/>
          <w:szCs w:val="24"/>
        </w:rPr>
        <w:t>发表意见，</w:t>
      </w:r>
      <w:r>
        <w:rPr>
          <w:rFonts w:hint="eastAsia" w:ascii="宋体" w:hAnsi="宋体" w:eastAsia="宋体"/>
          <w:sz w:val="24"/>
          <w:szCs w:val="24"/>
        </w:rPr>
        <w:t>经公司董事会审议后提交公司</w:t>
      </w:r>
      <w:r>
        <w:rPr>
          <w:rFonts w:hint="eastAsia" w:ascii="宋体" w:hAnsi="宋体" w:eastAsia="宋体"/>
          <w:sz w:val="24"/>
          <w:szCs w:val="24"/>
          <w:lang w:eastAsia="zh-CN"/>
        </w:rPr>
        <w:t>股东会</w:t>
      </w:r>
      <w:r>
        <w:rPr>
          <w:rFonts w:hint="eastAsia" w:ascii="宋体" w:hAnsi="宋体" w:eastAsia="宋体"/>
          <w:sz w:val="24"/>
          <w:szCs w:val="24"/>
        </w:rPr>
        <w:t>批准，并经出席</w:t>
      </w:r>
      <w:r>
        <w:rPr>
          <w:rFonts w:hint="eastAsia" w:ascii="宋体" w:hAnsi="宋体" w:eastAsia="宋体"/>
          <w:sz w:val="24"/>
          <w:szCs w:val="24"/>
          <w:lang w:eastAsia="zh-CN"/>
        </w:rPr>
        <w:t>股东会</w:t>
      </w:r>
      <w:r>
        <w:rPr>
          <w:rFonts w:hint="eastAsia" w:ascii="宋体" w:hAnsi="宋体" w:eastAsia="宋体"/>
          <w:sz w:val="24"/>
          <w:szCs w:val="24"/>
        </w:rPr>
        <w:t>的股东所持表决</w:t>
      </w:r>
      <w:r>
        <w:rPr>
          <w:rFonts w:ascii="Times New Roman" w:hAnsi="Times New Roman" w:eastAsia="宋体"/>
          <w:sz w:val="24"/>
          <w:szCs w:val="24"/>
        </w:rPr>
        <w:t>权的2/3以上通过。</w:t>
      </w:r>
    </w:p>
    <w:p w14:paraId="59807780">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w:t>
      </w:r>
      <w:r>
        <w:rPr>
          <w:rFonts w:hint="eastAsia" w:ascii="宋体" w:hAnsi="宋体" w:eastAsia="宋体"/>
          <w:b/>
          <w:bCs/>
          <w:sz w:val="24"/>
          <w:szCs w:val="24"/>
          <w:lang w:val="en-US" w:eastAsia="zh-CN"/>
        </w:rPr>
        <w:t>六</w:t>
      </w:r>
      <w:r>
        <w:rPr>
          <w:rFonts w:hint="eastAsia" w:ascii="宋体" w:hAnsi="宋体" w:eastAsia="宋体"/>
          <w:b/>
          <w:bCs/>
          <w:sz w:val="24"/>
          <w:szCs w:val="24"/>
        </w:rPr>
        <w:t>章</w:t>
      </w:r>
      <w:r>
        <w:rPr>
          <w:rFonts w:ascii="宋体" w:hAnsi="宋体" w:eastAsia="宋体"/>
          <w:b/>
          <w:bCs/>
          <w:sz w:val="24"/>
          <w:szCs w:val="24"/>
        </w:rPr>
        <w:t xml:space="preserve"> 利润分配监督约束机制</w:t>
      </w:r>
    </w:p>
    <w:p w14:paraId="0E0B681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公司董事会在决策形成分红预案时，应详细记录管理层建议、参</w:t>
      </w:r>
      <w:r>
        <w:rPr>
          <w:rFonts w:hint="eastAsia" w:ascii="宋体" w:hAnsi="宋体" w:eastAsia="宋体"/>
          <w:sz w:val="24"/>
          <w:szCs w:val="24"/>
        </w:rPr>
        <w:t>会董事的发言要点、董事会投票表决情况等内容，并形成书面记录作为公司档案妥善保存。</w:t>
      </w:r>
    </w:p>
    <w:p w14:paraId="05B39F10">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公司董事会在年度报告、半年度报告中应披露利润分配预案和现</w:t>
      </w:r>
      <w:r>
        <w:rPr>
          <w:rFonts w:hint="eastAsia" w:ascii="宋体" w:hAnsi="宋体" w:eastAsia="宋体"/>
          <w:sz w:val="24"/>
          <w:szCs w:val="24"/>
        </w:rPr>
        <w:t>金分红政策执行情况，说明是否符合《公司章程》的规定或者</w:t>
      </w:r>
      <w:r>
        <w:rPr>
          <w:rFonts w:hint="eastAsia" w:ascii="宋体" w:hAnsi="宋体" w:eastAsia="宋体"/>
          <w:sz w:val="24"/>
          <w:szCs w:val="24"/>
          <w:lang w:eastAsia="zh-CN"/>
        </w:rPr>
        <w:t>股东会</w:t>
      </w:r>
      <w:r>
        <w:rPr>
          <w:rFonts w:hint="eastAsia" w:ascii="宋体" w:hAnsi="宋体" w:eastAsia="宋体"/>
          <w:sz w:val="24"/>
          <w:szCs w:val="24"/>
        </w:rPr>
        <w:t>决议的要求，分红标准和比例是否明确和清晰，相关的决策程序和机制是否完备，独立董事是否尽职履责并发挥了应有的作用，中小股东是否有充分表达意见和诉求的机会，中小股东的合法权益是否得到充分维护等。对现金分红政策进行调整和变更的，还要详细说明调整变更的条件和程序是否合规和透明。</w:t>
      </w:r>
    </w:p>
    <w:p w14:paraId="155AA1B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lang w:val="en-US" w:eastAsia="zh-CN"/>
        </w:rPr>
        <w:t>审计委员会</w:t>
      </w:r>
      <w:r>
        <w:rPr>
          <w:rFonts w:ascii="宋体" w:hAnsi="宋体" w:eastAsia="宋体"/>
          <w:sz w:val="24"/>
          <w:szCs w:val="24"/>
        </w:rPr>
        <w:t>应对董事会和管理层执行公司分红政策和股东回报规</w:t>
      </w:r>
      <w:r>
        <w:rPr>
          <w:rFonts w:hint="eastAsia" w:ascii="宋体" w:hAnsi="宋体" w:eastAsia="宋体"/>
          <w:sz w:val="24"/>
          <w:szCs w:val="24"/>
        </w:rPr>
        <w:t>划的情况及决策程序进行监督。</w:t>
      </w:r>
    </w:p>
    <w:p w14:paraId="38B6EE1C">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公司当年</w:t>
      </w:r>
      <w:r>
        <w:rPr>
          <w:rFonts w:hint="eastAsia" w:ascii="宋体" w:hAnsi="宋体" w:eastAsia="宋体"/>
          <w:sz w:val="24"/>
          <w:szCs w:val="24"/>
          <w:lang w:val="en-US" w:eastAsia="zh-CN"/>
        </w:rPr>
        <w:t>实现</w:t>
      </w:r>
      <w:r>
        <w:rPr>
          <w:rFonts w:ascii="宋体" w:hAnsi="宋体" w:eastAsia="宋体"/>
          <w:sz w:val="24"/>
          <w:szCs w:val="24"/>
        </w:rPr>
        <w:t>盈利，董事会未提出以现金方式进行利润分配预案</w:t>
      </w:r>
      <w:r>
        <w:rPr>
          <w:rFonts w:hint="eastAsia" w:ascii="宋体" w:hAnsi="宋体" w:eastAsia="宋体"/>
          <w:sz w:val="24"/>
          <w:szCs w:val="24"/>
        </w:rPr>
        <w:t>的，</w:t>
      </w:r>
      <w:r>
        <w:rPr>
          <w:rFonts w:hint="eastAsia" w:ascii="宋体" w:hAnsi="宋体" w:eastAsia="宋体"/>
          <w:sz w:val="24"/>
          <w:szCs w:val="24"/>
          <w:lang w:val="en-US" w:eastAsia="zh-CN"/>
        </w:rPr>
        <w:t>应当</w:t>
      </w:r>
      <w:r>
        <w:rPr>
          <w:rFonts w:ascii="宋体" w:hAnsi="宋体" w:eastAsia="宋体"/>
          <w:sz w:val="24"/>
          <w:szCs w:val="24"/>
        </w:rPr>
        <w:t>在定期报告中披露原因以及未用于分红的留存资金用途</w:t>
      </w:r>
      <w:r>
        <w:rPr>
          <w:rFonts w:hint="eastAsia" w:ascii="宋体" w:hAnsi="宋体" w:eastAsia="宋体"/>
          <w:sz w:val="24"/>
          <w:szCs w:val="24"/>
        </w:rPr>
        <w:t>，</w:t>
      </w:r>
      <w:r>
        <w:rPr>
          <w:rFonts w:hint="eastAsia" w:ascii="宋体" w:hAnsi="宋体" w:eastAsia="宋体"/>
          <w:sz w:val="24"/>
          <w:szCs w:val="24"/>
          <w:lang w:val="en-US" w:eastAsia="zh-CN"/>
        </w:rPr>
        <w:t>有关利润分配的议案需</w:t>
      </w:r>
      <w:r>
        <w:rPr>
          <w:rFonts w:hint="eastAsia" w:ascii="宋体" w:hAnsi="宋体" w:eastAsia="宋体"/>
          <w:sz w:val="24"/>
          <w:szCs w:val="24"/>
        </w:rPr>
        <w:t>提请</w:t>
      </w:r>
      <w:r>
        <w:rPr>
          <w:rFonts w:hint="eastAsia" w:ascii="宋体" w:hAnsi="宋体" w:eastAsia="宋体"/>
          <w:sz w:val="24"/>
          <w:szCs w:val="24"/>
          <w:lang w:eastAsia="zh-CN"/>
        </w:rPr>
        <w:t>股东会</w:t>
      </w:r>
      <w:r>
        <w:rPr>
          <w:rFonts w:hint="eastAsia" w:ascii="宋体" w:hAnsi="宋体" w:eastAsia="宋体"/>
          <w:sz w:val="24"/>
          <w:szCs w:val="24"/>
        </w:rPr>
        <w:t>审议批准。</w:t>
      </w:r>
    </w:p>
    <w:p w14:paraId="2911157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公司</w:t>
      </w:r>
      <w:r>
        <w:rPr>
          <w:rFonts w:hint="eastAsia" w:ascii="宋体" w:hAnsi="宋体" w:eastAsia="宋体"/>
          <w:sz w:val="24"/>
          <w:szCs w:val="24"/>
          <w:lang w:eastAsia="zh-CN"/>
        </w:rPr>
        <w:t>股东会</w:t>
      </w:r>
      <w:r>
        <w:rPr>
          <w:rFonts w:ascii="宋体" w:hAnsi="宋体" w:eastAsia="宋体"/>
          <w:sz w:val="24"/>
          <w:szCs w:val="24"/>
        </w:rPr>
        <w:t>对利润分配方案作出决议后，</w:t>
      </w:r>
      <w:r>
        <w:rPr>
          <w:rFonts w:hint="eastAsia" w:ascii="宋体" w:hAnsi="宋体" w:eastAsia="宋体"/>
          <w:sz w:val="24"/>
          <w:szCs w:val="24"/>
        </w:rPr>
        <w:t>或者公司董事会根据年度股东会审议通过的下一年中期分红条件和上限制定具体方案后，</w:t>
      </w:r>
      <w:r>
        <w:rPr>
          <w:rFonts w:hint="eastAsia" w:ascii="宋体" w:hAnsi="宋体" w:eastAsia="宋体"/>
          <w:sz w:val="24"/>
          <w:szCs w:val="24"/>
          <w:lang w:val="en-US" w:eastAsia="zh-CN"/>
        </w:rPr>
        <w:t>应当</w:t>
      </w:r>
      <w:r>
        <w:rPr>
          <w:rFonts w:ascii="宋体" w:hAnsi="宋体" w:eastAsia="宋体"/>
          <w:sz w:val="24"/>
          <w:szCs w:val="24"/>
        </w:rPr>
        <w:t>在</w:t>
      </w:r>
      <w:r>
        <w:rPr>
          <w:rFonts w:ascii="Times New Roman" w:hAnsi="Times New Roman" w:eastAsia="宋体"/>
          <w:sz w:val="24"/>
          <w:szCs w:val="24"/>
        </w:rPr>
        <w:t>2个</w:t>
      </w:r>
      <w:r>
        <w:rPr>
          <w:rFonts w:ascii="宋体" w:hAnsi="宋体" w:eastAsia="宋体"/>
          <w:sz w:val="24"/>
          <w:szCs w:val="24"/>
        </w:rPr>
        <w:t>月内完成股利(或股份)的派发事项。</w:t>
      </w:r>
    </w:p>
    <w:p w14:paraId="7AB29E62">
      <w:pPr>
        <w:spacing w:before="156" w:beforeLines="50" w:line="360" w:lineRule="auto"/>
        <w:ind w:firstLine="482" w:firstLineChars="200"/>
        <w:jc w:val="center"/>
        <w:rPr>
          <w:rFonts w:ascii="宋体" w:hAnsi="宋体" w:eastAsia="宋体"/>
          <w:b/>
          <w:bCs/>
          <w:sz w:val="24"/>
          <w:szCs w:val="24"/>
        </w:rPr>
      </w:pPr>
      <w:r>
        <w:rPr>
          <w:rFonts w:hint="eastAsia" w:ascii="宋体" w:hAnsi="宋体" w:eastAsia="宋体"/>
          <w:b/>
          <w:bCs/>
          <w:sz w:val="24"/>
          <w:szCs w:val="24"/>
        </w:rPr>
        <w:t>第</w:t>
      </w:r>
      <w:r>
        <w:rPr>
          <w:rFonts w:hint="eastAsia" w:ascii="宋体" w:hAnsi="宋体" w:eastAsia="宋体"/>
          <w:b/>
          <w:bCs/>
          <w:sz w:val="24"/>
          <w:szCs w:val="24"/>
          <w:lang w:val="en-US" w:eastAsia="zh-CN"/>
        </w:rPr>
        <w:t>七</w:t>
      </w:r>
      <w:r>
        <w:rPr>
          <w:rFonts w:hint="eastAsia" w:ascii="宋体" w:hAnsi="宋体" w:eastAsia="宋体"/>
          <w:b/>
          <w:bCs/>
          <w:sz w:val="24"/>
          <w:szCs w:val="24"/>
        </w:rPr>
        <w:t>章</w:t>
      </w:r>
      <w:r>
        <w:rPr>
          <w:rFonts w:ascii="宋体" w:hAnsi="宋体" w:eastAsia="宋体"/>
          <w:b/>
          <w:bCs/>
          <w:sz w:val="24"/>
          <w:szCs w:val="24"/>
        </w:rPr>
        <w:t xml:space="preserve"> 附则</w:t>
      </w:r>
    </w:p>
    <w:p w14:paraId="57733C5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left="0" w:leftChars="0" w:firstLine="480" w:firstLineChars="200"/>
        <w:textAlignment w:val="auto"/>
        <w:rPr>
          <w:rFonts w:ascii="宋体" w:hAnsi="宋体" w:eastAsia="宋体"/>
          <w:sz w:val="24"/>
          <w:szCs w:val="24"/>
        </w:rPr>
      </w:pPr>
      <w:r>
        <w:rPr>
          <w:rFonts w:ascii="宋体" w:hAnsi="宋体" w:eastAsia="宋体"/>
          <w:sz w:val="24"/>
          <w:szCs w:val="24"/>
        </w:rPr>
        <w:t xml:space="preserve"> 本制度未</w:t>
      </w:r>
      <w:r>
        <w:rPr>
          <w:rFonts w:hint="eastAsia" w:ascii="宋体" w:hAnsi="宋体" w:eastAsia="宋体"/>
          <w:sz w:val="24"/>
          <w:szCs w:val="24"/>
        </w:rPr>
        <w:t>尽事宜，</w:t>
      </w:r>
      <w:r>
        <w:rPr>
          <w:rFonts w:hint="eastAsia" w:ascii="宋体" w:hAnsi="宋体" w:eastAsia="宋体"/>
          <w:sz w:val="24"/>
          <w:szCs w:val="24"/>
          <w:lang w:val="en-US" w:eastAsia="zh-CN"/>
        </w:rPr>
        <w:t>按</w:t>
      </w:r>
      <w:r>
        <w:rPr>
          <w:rFonts w:hint="eastAsia" w:ascii="宋体" w:hAnsi="宋体" w:eastAsia="宋体"/>
          <w:sz w:val="24"/>
          <w:szCs w:val="24"/>
        </w:rPr>
        <w:t>国家</w:t>
      </w:r>
      <w:r>
        <w:rPr>
          <w:rFonts w:ascii="宋体" w:hAnsi="宋体" w:eastAsia="宋体"/>
          <w:sz w:val="24"/>
          <w:szCs w:val="24"/>
        </w:rPr>
        <w:t>有关法律法规、</w:t>
      </w:r>
      <w:r>
        <w:rPr>
          <w:rFonts w:hint="eastAsia" w:ascii="宋体" w:hAnsi="宋体" w:eastAsia="宋体"/>
          <w:sz w:val="24"/>
          <w:szCs w:val="24"/>
        </w:rPr>
        <w:t>规范性文件及《</w:t>
      </w:r>
      <w:r>
        <w:rPr>
          <w:rFonts w:ascii="宋体" w:hAnsi="宋体" w:eastAsia="宋体"/>
          <w:sz w:val="24"/>
          <w:szCs w:val="24"/>
        </w:rPr>
        <w:t>公</w:t>
      </w:r>
      <w:r>
        <w:rPr>
          <w:rFonts w:hint="eastAsia" w:ascii="宋体" w:hAnsi="宋体" w:eastAsia="宋体"/>
          <w:sz w:val="24"/>
          <w:szCs w:val="24"/>
        </w:rPr>
        <w:t>司章程》</w:t>
      </w:r>
      <w:r>
        <w:rPr>
          <w:rFonts w:hint="eastAsia" w:ascii="宋体" w:hAnsi="宋体" w:eastAsia="宋体"/>
          <w:sz w:val="24"/>
          <w:szCs w:val="24"/>
          <w:lang w:val="en-US" w:eastAsia="zh-CN"/>
        </w:rPr>
        <w:t>等有关</w:t>
      </w:r>
      <w:r>
        <w:rPr>
          <w:rFonts w:hint="eastAsia" w:ascii="宋体" w:hAnsi="宋体" w:eastAsia="宋体"/>
          <w:sz w:val="24"/>
          <w:szCs w:val="24"/>
        </w:rPr>
        <w:t>规定执行。</w:t>
      </w:r>
    </w:p>
    <w:p w14:paraId="44C640E6">
      <w:pPr>
        <w:numPr>
          <w:ilvl w:val="0"/>
          <w:numId w:val="1"/>
        </w:numPr>
        <w:spacing w:before="156" w:beforeLines="50" w:line="360" w:lineRule="auto"/>
        <w:ind w:firstLine="480" w:firstLineChars="200"/>
        <w:rPr>
          <w:rFonts w:ascii="宋体" w:hAnsi="宋体" w:eastAsia="宋体"/>
          <w:sz w:val="24"/>
          <w:szCs w:val="24"/>
        </w:rPr>
      </w:pPr>
      <w:r>
        <w:rPr>
          <w:rFonts w:ascii="宋体" w:hAnsi="宋体" w:eastAsia="宋体"/>
          <w:sz w:val="24"/>
          <w:szCs w:val="24"/>
        </w:rPr>
        <w:t xml:space="preserve"> 本制度由公司董事会</w:t>
      </w:r>
      <w:r>
        <w:rPr>
          <w:rFonts w:hint="eastAsia" w:ascii="宋体" w:hAnsi="宋体" w:eastAsia="宋体"/>
          <w:sz w:val="24"/>
          <w:szCs w:val="24"/>
          <w:lang w:val="en-US" w:eastAsia="zh-CN"/>
        </w:rPr>
        <w:t>制定，经</w:t>
      </w:r>
      <w:r>
        <w:rPr>
          <w:rFonts w:hint="eastAsia" w:ascii="宋体" w:hAnsi="宋体" w:eastAsia="宋体"/>
          <w:sz w:val="24"/>
          <w:szCs w:val="24"/>
          <w:lang w:eastAsia="zh-CN"/>
        </w:rPr>
        <w:t>股东会</w:t>
      </w:r>
      <w:r>
        <w:rPr>
          <w:rFonts w:ascii="宋体" w:hAnsi="宋体" w:eastAsia="宋体"/>
          <w:sz w:val="24"/>
          <w:szCs w:val="24"/>
        </w:rPr>
        <w:t>审议通过</w:t>
      </w:r>
      <w:r>
        <w:rPr>
          <w:rFonts w:hint="eastAsia" w:ascii="宋体" w:hAnsi="宋体" w:eastAsia="宋体"/>
          <w:sz w:val="24"/>
          <w:szCs w:val="24"/>
          <w:lang w:val="en-US" w:eastAsia="zh-CN"/>
        </w:rPr>
        <w:t>后</w:t>
      </w:r>
      <w:r>
        <w:rPr>
          <w:rFonts w:ascii="宋体" w:hAnsi="宋体" w:eastAsia="宋体"/>
          <w:sz w:val="24"/>
          <w:szCs w:val="24"/>
        </w:rPr>
        <w:t>生效</w:t>
      </w:r>
      <w:r>
        <w:rPr>
          <w:rFonts w:hint="eastAsia" w:ascii="宋体" w:hAnsi="宋体" w:eastAsia="宋体"/>
          <w:sz w:val="24"/>
          <w:szCs w:val="24"/>
        </w:rPr>
        <w:t>。</w:t>
      </w:r>
    </w:p>
    <w:p w14:paraId="720575F6">
      <w:pPr>
        <w:spacing w:before="156" w:beforeLines="50" w:line="360" w:lineRule="auto"/>
        <w:ind w:firstLine="480" w:firstLineChars="200"/>
        <w:jc w:val="right"/>
        <w:rPr>
          <w:rFonts w:hint="eastAsia" w:ascii="宋体" w:hAnsi="宋体" w:eastAsia="宋体"/>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05481"/>
    <w:multiLevelType w:val="singleLevel"/>
    <w:tmpl w:val="A8D05481"/>
    <w:lvl w:ilvl="0" w:tentative="0">
      <w:start w:val="1"/>
      <w:numFmt w:val="chineseCounting"/>
      <w:suff w:val="space"/>
      <w:lvlText w:val="第%1条"/>
      <w:lvlJc w:val="left"/>
      <w:pPr>
        <w:tabs>
          <w:tab w:val="left" w:pos="0"/>
        </w:tabs>
      </w:pPr>
      <w:rPr>
        <w:rFonts w:hint="eastAsia"/>
        <w:b/>
        <w:bCs/>
        <w:strike w:val="0"/>
        <w:dstrike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lkMzFjNTQ5NzM1MTljMTgyZjVhMzRkMDhhYWQzZjYifQ=="/>
  </w:docVars>
  <w:rsids>
    <w:rsidRoot w:val="005C2359"/>
    <w:rsid w:val="000A5DA8"/>
    <w:rsid w:val="000E34D4"/>
    <w:rsid w:val="00184492"/>
    <w:rsid w:val="0019254E"/>
    <w:rsid w:val="001D61F4"/>
    <w:rsid w:val="001E20D9"/>
    <w:rsid w:val="001E50E7"/>
    <w:rsid w:val="002C239D"/>
    <w:rsid w:val="0032346E"/>
    <w:rsid w:val="00365ECA"/>
    <w:rsid w:val="00383170"/>
    <w:rsid w:val="00407D29"/>
    <w:rsid w:val="00433CDC"/>
    <w:rsid w:val="004D7696"/>
    <w:rsid w:val="004F5042"/>
    <w:rsid w:val="00514C6C"/>
    <w:rsid w:val="0056419B"/>
    <w:rsid w:val="00570935"/>
    <w:rsid w:val="005C2359"/>
    <w:rsid w:val="005D28FD"/>
    <w:rsid w:val="00630483"/>
    <w:rsid w:val="00674440"/>
    <w:rsid w:val="00706E92"/>
    <w:rsid w:val="007307FE"/>
    <w:rsid w:val="007519EE"/>
    <w:rsid w:val="007E2744"/>
    <w:rsid w:val="008C3817"/>
    <w:rsid w:val="008C7777"/>
    <w:rsid w:val="008F00F3"/>
    <w:rsid w:val="0090457E"/>
    <w:rsid w:val="00924C5B"/>
    <w:rsid w:val="00961884"/>
    <w:rsid w:val="00983263"/>
    <w:rsid w:val="009977FD"/>
    <w:rsid w:val="009C28BF"/>
    <w:rsid w:val="00A55867"/>
    <w:rsid w:val="00AA6147"/>
    <w:rsid w:val="00AB05DA"/>
    <w:rsid w:val="00AB6DBD"/>
    <w:rsid w:val="00AD5FFB"/>
    <w:rsid w:val="00B46923"/>
    <w:rsid w:val="00B4759C"/>
    <w:rsid w:val="00B64235"/>
    <w:rsid w:val="00BA330A"/>
    <w:rsid w:val="00BC2023"/>
    <w:rsid w:val="00C24989"/>
    <w:rsid w:val="00C26B1B"/>
    <w:rsid w:val="00C60D25"/>
    <w:rsid w:val="00C91E97"/>
    <w:rsid w:val="00CC3D7D"/>
    <w:rsid w:val="00CE7555"/>
    <w:rsid w:val="00CF2BB6"/>
    <w:rsid w:val="00D26AFB"/>
    <w:rsid w:val="00D70862"/>
    <w:rsid w:val="00DF5864"/>
    <w:rsid w:val="00E22D56"/>
    <w:rsid w:val="00F53571"/>
    <w:rsid w:val="00FC76E9"/>
    <w:rsid w:val="0D6C34F2"/>
    <w:rsid w:val="0EFB0FB1"/>
    <w:rsid w:val="0F5F6799"/>
    <w:rsid w:val="10AE0054"/>
    <w:rsid w:val="10C93566"/>
    <w:rsid w:val="140651D0"/>
    <w:rsid w:val="15CF1488"/>
    <w:rsid w:val="19AE62FA"/>
    <w:rsid w:val="2838494D"/>
    <w:rsid w:val="29932CBF"/>
    <w:rsid w:val="36324C98"/>
    <w:rsid w:val="38AF12BE"/>
    <w:rsid w:val="47947ED7"/>
    <w:rsid w:val="575B1346"/>
    <w:rsid w:val="61F32C15"/>
    <w:rsid w:val="62797522"/>
    <w:rsid w:val="687C3D66"/>
    <w:rsid w:val="6BA87315"/>
    <w:rsid w:val="72DB435C"/>
    <w:rsid w:val="73C12430"/>
    <w:rsid w:val="7A4018B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link w:val="9"/>
    <w:unhideWhenUsed/>
    <w:qFormat/>
    <w:uiPriority w:val="99"/>
    <w:pPr>
      <w:jc w:val="left"/>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2"/>
    <w:unhideWhenUsed/>
    <w:qFormat/>
    <w:uiPriority w:val="99"/>
    <w:rPr>
      <w:b/>
      <w:bCs/>
    </w:rPr>
  </w:style>
  <w:style w:type="character" w:styleId="8">
    <w:name w:val="annotation reference"/>
    <w:unhideWhenUsed/>
    <w:qFormat/>
    <w:uiPriority w:val="99"/>
    <w:rPr>
      <w:sz w:val="21"/>
      <w:szCs w:val="21"/>
    </w:rPr>
  </w:style>
  <w:style w:type="character" w:customStyle="1" w:styleId="9">
    <w:name w:val="批注文字 字符"/>
    <w:link w:val="2"/>
    <w:semiHidden/>
    <w:qFormat/>
    <w:uiPriority w:val="99"/>
  </w:style>
  <w:style w:type="character" w:customStyle="1" w:styleId="10">
    <w:name w:val="页脚 字符"/>
    <w:link w:val="3"/>
    <w:qFormat/>
    <w:uiPriority w:val="99"/>
    <w:rPr>
      <w:sz w:val="18"/>
      <w:szCs w:val="18"/>
    </w:rPr>
  </w:style>
  <w:style w:type="character" w:customStyle="1" w:styleId="11">
    <w:name w:val="页眉 字符"/>
    <w:link w:val="4"/>
    <w:qFormat/>
    <w:uiPriority w:val="99"/>
    <w:rPr>
      <w:sz w:val="18"/>
      <w:szCs w:val="18"/>
    </w:rPr>
  </w:style>
  <w:style w:type="character" w:customStyle="1" w:styleId="12">
    <w:name w:val="批注主题 字符"/>
    <w:link w:val="5"/>
    <w:semiHidden/>
    <w:qFormat/>
    <w:uiPriority w:val="99"/>
    <w:rPr>
      <w:b/>
      <w:bCs/>
    </w:rPr>
  </w:style>
  <w:style w:type="paragraph" w:customStyle="1" w:styleId="13">
    <w:name w:val="Revision"/>
    <w:semiHidden/>
    <w:qFormat/>
    <w:uiPriority w:val="99"/>
    <w:rPr>
      <w:rFonts w:ascii="等线" w:hAnsi="等线" w:eastAsia="等线" w:cs="Times New Roman"/>
      <w:kern w:val="2"/>
      <w:sz w:val="21"/>
      <w:szCs w:val="22"/>
      <w:lang w:val="en-US" w:eastAsia="zh-CN" w:bidi="ar-SA"/>
    </w:rPr>
  </w:style>
  <w:style w:type="paragraph" w:customStyle="1" w:styleId="14">
    <w:name w:val="_Style 13"/>
    <w:hidden/>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3075</Words>
  <Characters>3106</Characters>
  <Lines>24</Lines>
  <Paragraphs>6</Paragraphs>
  <TotalTime>0</TotalTime>
  <ScaleCrop>false</ScaleCrop>
  <LinksUpToDate>false</LinksUpToDate>
  <CharactersWithSpaces>3143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2022-12-07T08:23:00Z</dcterms:created>
  <dc:creator>guanhao</dc:creator>
  <cp:lastModifiedBy>李群</cp:lastModifiedBy>
  <cp:lastPrinted>2025-05-28T03:41:00Z</cp:lastPrinted>
  <dcterms:modified xsi:type="dcterms:W3CDTF">2025-06-05T09:59:17Z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415E53B4D57343E78348C2FF680C96E4_13</vt:lpwstr>
  </property>
  <property fmtid="{D5CDD505-2E9C-101B-9397-08002B2CF9AE}" pid="4" name="KSOTemplateDocerSaveRecord">
    <vt:lpwstr>eyJoZGlkIjoiYWRlOTk1ZDM4MjkzZjgxMjZiN2M3ZjNmNDQ5NGIzZGYiLCJ1c2VySWQiOiIzNDI3ODI2OTEifQ==</vt:lpwstr>
  </property>
</Properties>
</file>