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5AE84">
      <w:pPr>
        <w:autoSpaceDE w:val="0"/>
        <w:autoSpaceDN w:val="0"/>
        <w:adjustRightInd w:val="0"/>
        <w:spacing w:before="312" w:beforeLines="100" w:line="500" w:lineRule="exact"/>
        <w:jc w:val="center"/>
        <w:rPr>
          <w:rFonts w:ascii="黑体" w:eastAsia="黑体" w:cs="黑体"/>
          <w:color w:val="000000"/>
          <w:kern w:val="0"/>
          <w:sz w:val="30"/>
          <w:szCs w:val="30"/>
        </w:rPr>
      </w:pPr>
      <w:r>
        <w:rPr>
          <w:rFonts w:hint="eastAsia" w:ascii="黑体" w:eastAsia="黑体" w:cs="黑体"/>
          <w:color w:val="000000"/>
          <w:kern w:val="0"/>
          <w:sz w:val="30"/>
          <w:szCs w:val="30"/>
        </w:rPr>
        <w:t>冠昊生物科技股份有限公司</w:t>
      </w:r>
    </w:p>
    <w:p w14:paraId="31882C2C">
      <w:pPr>
        <w:spacing w:after="156" w:afterLines="50" w:line="500" w:lineRule="exact"/>
        <w:jc w:val="center"/>
        <w:rPr>
          <w:rFonts w:ascii="黑体" w:eastAsia="黑体"/>
          <w:bCs/>
          <w:sz w:val="30"/>
        </w:rPr>
      </w:pPr>
      <w:r>
        <w:rPr>
          <w:rFonts w:hint="eastAsia" w:ascii="黑体" w:eastAsia="黑体"/>
          <w:bCs/>
          <w:sz w:val="30"/>
        </w:rPr>
        <w:t>关联交易管理办法</w:t>
      </w:r>
    </w:p>
    <w:p w14:paraId="4F214667">
      <w:pPr>
        <w:spacing w:after="156" w:afterLines="50" w:line="500" w:lineRule="exact"/>
        <w:ind w:firstLine="482" w:firstLineChars="200"/>
        <w:jc w:val="center"/>
        <w:rPr>
          <w:rFonts w:hint="eastAsia" w:ascii="宋体" w:hAnsi="宋体" w:cs="宋体"/>
          <w:b/>
          <w:sz w:val="24"/>
        </w:rPr>
      </w:pPr>
      <w:r>
        <w:rPr>
          <w:rFonts w:hint="eastAsia" w:ascii="宋体" w:hAnsi="宋体" w:cs="宋体"/>
          <w:b/>
          <w:sz w:val="24"/>
        </w:rPr>
        <w:t>第一章 总则</w:t>
      </w:r>
    </w:p>
    <w:p w14:paraId="431B6099">
      <w:pPr>
        <w:numPr>
          <w:ilvl w:val="0"/>
          <w:numId w:val="1"/>
        </w:numPr>
        <w:spacing w:line="500" w:lineRule="exact"/>
        <w:ind w:firstLine="480" w:firstLineChars="200"/>
        <w:rPr>
          <w:rFonts w:hint="eastAsia" w:ascii="宋体" w:hAnsi="宋体"/>
          <w:sz w:val="24"/>
        </w:rPr>
      </w:pPr>
      <w:r>
        <w:rPr>
          <w:rFonts w:hint="eastAsia" w:ascii="宋体" w:hAnsi="宋体"/>
          <w:sz w:val="24"/>
        </w:rPr>
        <w:t xml:space="preserve"> 为进一步加强冠昊生物科技股份有限公司(以下简称“公司”)关联交易管理，明确管理职责和分工，维护公司股东和债权人的合法权益，特别是中小投资者的合法利益，保证公司与关联方之间订立的关联交易合同符合公平、公允、公开的原则，根据《公司法》《证券法》《深圳证券交易所创业板股票上市规则》等法律法规、规范性文件和《公司章程》等相关规定，结合公司实际，制订本办法。</w:t>
      </w:r>
    </w:p>
    <w:p w14:paraId="1259964E">
      <w:pPr>
        <w:spacing w:after="156" w:afterLines="50" w:line="500" w:lineRule="exact"/>
        <w:ind w:firstLine="482" w:firstLineChars="200"/>
        <w:jc w:val="center"/>
        <w:rPr>
          <w:rFonts w:hint="eastAsia" w:ascii="宋体" w:hAnsi="宋体" w:cs="宋体"/>
          <w:b/>
          <w:sz w:val="24"/>
        </w:rPr>
      </w:pPr>
      <w:r>
        <w:rPr>
          <w:rFonts w:hint="eastAsia" w:ascii="宋体" w:hAnsi="宋体" w:cs="宋体"/>
          <w:b/>
          <w:sz w:val="24"/>
        </w:rPr>
        <w:t>第二章 关联交易和关联人</w:t>
      </w:r>
    </w:p>
    <w:p w14:paraId="604C5F7E">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公司的关联交易，是指公司或公司控股子公司与公司关联人之间发生的转移资源或义务的事项，包括：</w:t>
      </w:r>
    </w:p>
    <w:p w14:paraId="4D59C5FE">
      <w:pPr>
        <w:spacing w:line="500" w:lineRule="exact"/>
        <w:ind w:firstLine="480" w:firstLineChars="200"/>
        <w:rPr>
          <w:rFonts w:hint="eastAsia" w:ascii="宋体" w:hAnsi="宋体"/>
          <w:sz w:val="24"/>
        </w:rPr>
      </w:pPr>
      <w:r>
        <w:rPr>
          <w:rFonts w:hint="eastAsia" w:ascii="宋体" w:hAnsi="宋体"/>
          <w:sz w:val="24"/>
        </w:rPr>
        <w:t>（一）购买或者出售资产；</w:t>
      </w:r>
    </w:p>
    <w:p w14:paraId="3D84E0CB">
      <w:pPr>
        <w:spacing w:line="500" w:lineRule="exact"/>
        <w:ind w:firstLine="480" w:firstLineChars="200"/>
        <w:rPr>
          <w:rFonts w:hint="eastAsia" w:ascii="宋体" w:hAnsi="宋体"/>
          <w:sz w:val="24"/>
        </w:rPr>
      </w:pPr>
      <w:r>
        <w:rPr>
          <w:rFonts w:hint="eastAsia" w:ascii="宋体" w:hAnsi="宋体"/>
          <w:sz w:val="24"/>
        </w:rPr>
        <w:t>（二）对外投资(含委托理财、对子公司投资等，设立或者增资全资子公司除外)；</w:t>
      </w:r>
    </w:p>
    <w:p w14:paraId="6516C405">
      <w:pPr>
        <w:spacing w:line="500" w:lineRule="exact"/>
        <w:ind w:firstLine="480" w:firstLineChars="200"/>
        <w:rPr>
          <w:rFonts w:hint="eastAsia" w:ascii="宋体" w:hAnsi="宋体"/>
          <w:sz w:val="24"/>
        </w:rPr>
      </w:pPr>
      <w:r>
        <w:rPr>
          <w:rFonts w:hint="eastAsia" w:ascii="宋体" w:hAnsi="宋体"/>
          <w:sz w:val="24"/>
        </w:rPr>
        <w:t>（三）提供财务资助(含委托贷款等)；</w:t>
      </w:r>
    </w:p>
    <w:p w14:paraId="4960806A">
      <w:pPr>
        <w:spacing w:line="500" w:lineRule="exact"/>
        <w:ind w:firstLine="480" w:firstLineChars="200"/>
        <w:rPr>
          <w:rFonts w:hint="eastAsia" w:ascii="宋体" w:hAnsi="宋体"/>
          <w:sz w:val="24"/>
        </w:rPr>
      </w:pPr>
      <w:r>
        <w:rPr>
          <w:rFonts w:hint="eastAsia" w:ascii="宋体" w:hAnsi="宋体"/>
          <w:sz w:val="24"/>
        </w:rPr>
        <w:t>（四）提供担保(指公司为他人提供的担保，含对控股子公司担保等)；</w:t>
      </w:r>
    </w:p>
    <w:p w14:paraId="62A31E80">
      <w:pPr>
        <w:spacing w:line="500" w:lineRule="exact"/>
        <w:ind w:firstLine="480" w:firstLineChars="200"/>
        <w:rPr>
          <w:rFonts w:hint="eastAsia" w:ascii="宋体" w:hAnsi="宋体"/>
          <w:sz w:val="24"/>
        </w:rPr>
      </w:pPr>
      <w:r>
        <w:rPr>
          <w:rFonts w:hint="eastAsia" w:ascii="宋体" w:hAnsi="宋体"/>
          <w:sz w:val="24"/>
        </w:rPr>
        <w:t>（五）租入或者租出资产；</w:t>
      </w:r>
    </w:p>
    <w:p w14:paraId="0F3CB80F">
      <w:pPr>
        <w:spacing w:line="500" w:lineRule="exact"/>
        <w:ind w:firstLine="480" w:firstLineChars="200"/>
        <w:rPr>
          <w:rFonts w:hint="eastAsia" w:ascii="宋体" w:hAnsi="宋体"/>
          <w:sz w:val="24"/>
        </w:rPr>
      </w:pPr>
      <w:r>
        <w:rPr>
          <w:rFonts w:hint="eastAsia" w:ascii="宋体" w:hAnsi="宋体"/>
          <w:sz w:val="24"/>
        </w:rPr>
        <w:t>（六）签订管理方面的合同(含委托经营、受托经营等)；</w:t>
      </w:r>
    </w:p>
    <w:p w14:paraId="53A28741">
      <w:pPr>
        <w:spacing w:line="500" w:lineRule="exact"/>
        <w:ind w:firstLine="480" w:firstLineChars="200"/>
        <w:rPr>
          <w:rFonts w:hint="eastAsia" w:ascii="宋体" w:hAnsi="宋体"/>
          <w:sz w:val="24"/>
        </w:rPr>
      </w:pPr>
      <w:r>
        <w:rPr>
          <w:rFonts w:hint="eastAsia" w:ascii="宋体" w:hAnsi="宋体"/>
          <w:sz w:val="24"/>
        </w:rPr>
        <w:t>（七）赠与或者受赠资产；</w:t>
      </w:r>
    </w:p>
    <w:p w14:paraId="42A57080">
      <w:pPr>
        <w:spacing w:line="500" w:lineRule="exact"/>
        <w:ind w:firstLine="480" w:firstLineChars="200"/>
        <w:rPr>
          <w:rFonts w:hint="eastAsia" w:ascii="宋体" w:hAnsi="宋体"/>
          <w:sz w:val="24"/>
        </w:rPr>
      </w:pPr>
      <w:r>
        <w:rPr>
          <w:rFonts w:hint="eastAsia" w:ascii="宋体" w:hAnsi="宋体"/>
          <w:sz w:val="24"/>
        </w:rPr>
        <w:t>（八）债权或债务重组；</w:t>
      </w:r>
    </w:p>
    <w:p w14:paraId="63BA0D68">
      <w:pPr>
        <w:spacing w:line="500" w:lineRule="exact"/>
        <w:ind w:firstLine="480" w:firstLineChars="200"/>
        <w:rPr>
          <w:rFonts w:hint="eastAsia" w:ascii="宋体" w:hAnsi="宋体"/>
          <w:sz w:val="24"/>
        </w:rPr>
      </w:pPr>
      <w:r>
        <w:rPr>
          <w:rFonts w:hint="eastAsia" w:ascii="宋体" w:hAnsi="宋体"/>
          <w:sz w:val="24"/>
        </w:rPr>
        <w:t>（九）研究与开发项目的转移；</w:t>
      </w:r>
    </w:p>
    <w:p w14:paraId="3711CCD9">
      <w:pPr>
        <w:spacing w:line="500" w:lineRule="exact"/>
        <w:ind w:firstLine="480" w:firstLineChars="200"/>
        <w:rPr>
          <w:rFonts w:hint="eastAsia" w:ascii="宋体" w:hAnsi="宋体"/>
          <w:sz w:val="24"/>
        </w:rPr>
      </w:pPr>
      <w:r>
        <w:rPr>
          <w:rFonts w:hint="eastAsia" w:ascii="宋体" w:hAnsi="宋体"/>
          <w:sz w:val="24"/>
        </w:rPr>
        <w:t>（十）签订许可协议；</w:t>
      </w:r>
    </w:p>
    <w:p w14:paraId="4D42C712">
      <w:pPr>
        <w:spacing w:line="500" w:lineRule="exact"/>
        <w:ind w:firstLine="480" w:firstLineChars="200"/>
        <w:rPr>
          <w:rFonts w:hint="eastAsia" w:ascii="宋体" w:hAnsi="宋体"/>
          <w:sz w:val="24"/>
        </w:rPr>
      </w:pPr>
      <w:r>
        <w:rPr>
          <w:rFonts w:hint="eastAsia" w:ascii="宋体" w:hAnsi="宋体"/>
          <w:sz w:val="24"/>
        </w:rPr>
        <w:t>（十一）放弃权利(含放弃优先购买权、优先认缴出资权利等)；</w:t>
      </w:r>
    </w:p>
    <w:p w14:paraId="33571D97">
      <w:pPr>
        <w:spacing w:line="500" w:lineRule="exact"/>
        <w:ind w:firstLine="480" w:firstLineChars="200"/>
        <w:rPr>
          <w:rFonts w:hint="eastAsia" w:ascii="宋体" w:hAnsi="宋体"/>
          <w:sz w:val="24"/>
        </w:rPr>
      </w:pPr>
      <w:r>
        <w:rPr>
          <w:rFonts w:hint="eastAsia" w:ascii="宋体" w:hAnsi="宋体"/>
          <w:sz w:val="24"/>
        </w:rPr>
        <w:t>（十二）购买原材料、燃料、动力；</w:t>
      </w:r>
    </w:p>
    <w:p w14:paraId="320145DB">
      <w:pPr>
        <w:spacing w:line="500" w:lineRule="exact"/>
        <w:ind w:firstLine="480" w:firstLineChars="200"/>
        <w:rPr>
          <w:rFonts w:hint="eastAsia" w:ascii="宋体" w:hAnsi="宋体"/>
          <w:sz w:val="24"/>
        </w:rPr>
      </w:pPr>
      <w:r>
        <w:rPr>
          <w:rFonts w:hint="eastAsia" w:ascii="宋体" w:hAnsi="宋体"/>
          <w:sz w:val="24"/>
        </w:rPr>
        <w:t>（十三）销售产品、商品；</w:t>
      </w:r>
    </w:p>
    <w:p w14:paraId="0C2BD691">
      <w:pPr>
        <w:spacing w:line="500" w:lineRule="exact"/>
        <w:ind w:firstLine="480" w:firstLineChars="200"/>
        <w:rPr>
          <w:rFonts w:hint="eastAsia" w:ascii="宋体" w:hAnsi="宋体"/>
          <w:sz w:val="24"/>
        </w:rPr>
      </w:pPr>
      <w:r>
        <w:rPr>
          <w:rFonts w:hint="eastAsia" w:ascii="宋体" w:hAnsi="宋体"/>
          <w:sz w:val="24"/>
        </w:rPr>
        <w:t>（十四）提供或者接受劳务；</w:t>
      </w:r>
    </w:p>
    <w:p w14:paraId="7AFFF09A">
      <w:pPr>
        <w:spacing w:line="500" w:lineRule="exact"/>
        <w:ind w:firstLine="480" w:firstLineChars="200"/>
        <w:rPr>
          <w:rFonts w:hint="eastAsia" w:ascii="宋体" w:hAnsi="宋体"/>
          <w:sz w:val="24"/>
        </w:rPr>
      </w:pPr>
      <w:r>
        <w:rPr>
          <w:rFonts w:hint="eastAsia" w:ascii="宋体" w:hAnsi="宋体"/>
          <w:sz w:val="24"/>
        </w:rPr>
        <w:t>（十五）委托或者受托销售；</w:t>
      </w:r>
    </w:p>
    <w:p w14:paraId="0306745C">
      <w:pPr>
        <w:spacing w:line="500" w:lineRule="exact"/>
        <w:ind w:firstLine="480" w:firstLineChars="200"/>
        <w:rPr>
          <w:rFonts w:hint="eastAsia" w:ascii="宋体" w:hAnsi="宋体"/>
          <w:sz w:val="24"/>
        </w:rPr>
      </w:pPr>
      <w:r>
        <w:rPr>
          <w:rFonts w:hint="eastAsia" w:ascii="宋体" w:hAnsi="宋体"/>
          <w:sz w:val="24"/>
        </w:rPr>
        <w:t>（十六）关联双方共同投资；</w:t>
      </w:r>
    </w:p>
    <w:p w14:paraId="6DB22C8B">
      <w:pPr>
        <w:spacing w:line="500" w:lineRule="exact"/>
        <w:ind w:firstLine="480" w:firstLineChars="200"/>
        <w:rPr>
          <w:rFonts w:hint="eastAsia" w:ascii="宋体" w:hAnsi="宋体"/>
          <w:sz w:val="24"/>
        </w:rPr>
      </w:pPr>
      <w:r>
        <w:rPr>
          <w:rFonts w:hint="eastAsia" w:ascii="宋体" w:hAnsi="宋体"/>
          <w:sz w:val="24"/>
        </w:rPr>
        <w:t>（十七）其他通过约定可能造成资源或者义务转移的事项。</w:t>
      </w:r>
    </w:p>
    <w:p w14:paraId="1E2C8A2C">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本办法所指关联人包括关联法人和关联自然人。</w:t>
      </w:r>
    </w:p>
    <w:p w14:paraId="659BF3C6">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具有以下情形之一的法人或其他组织，为公司的关联法人：</w:t>
      </w:r>
    </w:p>
    <w:p w14:paraId="1FE56CF8">
      <w:pPr>
        <w:spacing w:line="500" w:lineRule="exact"/>
        <w:ind w:firstLine="480" w:firstLineChars="200"/>
        <w:rPr>
          <w:rFonts w:hint="eastAsia" w:ascii="宋体" w:hAnsi="宋体"/>
          <w:sz w:val="24"/>
        </w:rPr>
      </w:pPr>
      <w:r>
        <w:rPr>
          <w:rFonts w:hint="eastAsia" w:ascii="宋体" w:hAnsi="宋体"/>
          <w:sz w:val="24"/>
        </w:rPr>
        <w:t xml:space="preserve">（一）直接或者间接控制公司的法人或其他组织； </w:t>
      </w:r>
    </w:p>
    <w:p w14:paraId="0C235A4B">
      <w:pPr>
        <w:spacing w:line="500" w:lineRule="exact"/>
        <w:ind w:firstLine="480" w:firstLineChars="200"/>
        <w:rPr>
          <w:rFonts w:hint="eastAsia" w:ascii="宋体" w:hAnsi="宋体"/>
          <w:sz w:val="24"/>
        </w:rPr>
      </w:pPr>
      <w:r>
        <w:rPr>
          <w:rFonts w:hint="eastAsia" w:ascii="宋体" w:hAnsi="宋体"/>
          <w:sz w:val="24"/>
        </w:rPr>
        <w:t>（二）由前项所述法人直接或者间接控制的除公司及控股子公司以外的法人或其他组织；</w:t>
      </w:r>
    </w:p>
    <w:p w14:paraId="609845E1">
      <w:pPr>
        <w:spacing w:line="500" w:lineRule="exact"/>
        <w:ind w:firstLine="480" w:firstLineChars="200"/>
        <w:rPr>
          <w:rFonts w:hint="eastAsia" w:ascii="宋体" w:hAnsi="宋体"/>
          <w:sz w:val="24"/>
        </w:rPr>
      </w:pPr>
      <w:r>
        <w:rPr>
          <w:rFonts w:hint="eastAsia" w:ascii="宋体" w:hAnsi="宋体"/>
          <w:sz w:val="24"/>
        </w:rPr>
        <w:t xml:space="preserve">（三）由本办法第五条所列公司的关联自然人直接或者间接控制的，或者担任董事（不含同为双方的独立董事）、高级管理人员的，除公司及控股子公司以外的法人或其他组织； </w:t>
      </w:r>
    </w:p>
    <w:p w14:paraId="63A628EB">
      <w:pPr>
        <w:spacing w:line="500" w:lineRule="exact"/>
        <w:ind w:firstLine="480" w:firstLineChars="200"/>
        <w:rPr>
          <w:rFonts w:hint="eastAsia" w:ascii="宋体" w:hAnsi="宋体"/>
          <w:sz w:val="24"/>
        </w:rPr>
      </w:pPr>
      <w:r>
        <w:rPr>
          <w:rFonts w:hint="eastAsia" w:ascii="宋体" w:hAnsi="宋体"/>
          <w:sz w:val="24"/>
        </w:rPr>
        <w:t>（四）持有公司</w:t>
      </w:r>
      <w:r>
        <w:rPr>
          <w:sz w:val="24"/>
        </w:rPr>
        <w:t>5%</w:t>
      </w:r>
      <w:r>
        <w:rPr>
          <w:rFonts w:hint="eastAsia" w:ascii="宋体" w:hAnsi="宋体"/>
          <w:sz w:val="24"/>
        </w:rPr>
        <w:t xml:space="preserve">以上股份的法人或其他组织及其一致行动人； </w:t>
      </w:r>
    </w:p>
    <w:p w14:paraId="657770C9">
      <w:pPr>
        <w:spacing w:line="500" w:lineRule="exact"/>
        <w:ind w:firstLine="480" w:firstLineChars="200"/>
        <w:rPr>
          <w:rFonts w:hint="eastAsia" w:ascii="宋体" w:hAnsi="宋体"/>
          <w:sz w:val="24"/>
        </w:rPr>
      </w:pPr>
      <w:r>
        <w:rPr>
          <w:rFonts w:hint="eastAsia" w:ascii="宋体" w:hAnsi="宋体"/>
          <w:sz w:val="24"/>
        </w:rPr>
        <w:t xml:space="preserve">（五）中国证监会、深圳证券交易所或公司根据实质重于形式的原则认定的其他与公司有特殊关系，可能造成公司对其利益倾斜的法人或其他组织。 </w:t>
      </w:r>
    </w:p>
    <w:p w14:paraId="55C4FC28">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具有以下情形之一的自然人，为公司的关联自然人： </w:t>
      </w:r>
    </w:p>
    <w:p w14:paraId="20093D47">
      <w:pPr>
        <w:spacing w:line="500" w:lineRule="exact"/>
        <w:ind w:firstLine="480" w:firstLineChars="200"/>
        <w:rPr>
          <w:rFonts w:hint="eastAsia" w:ascii="宋体" w:hAnsi="宋体"/>
          <w:sz w:val="24"/>
        </w:rPr>
      </w:pPr>
      <w:r>
        <w:rPr>
          <w:rFonts w:hint="eastAsia" w:ascii="宋体" w:hAnsi="宋体"/>
          <w:sz w:val="24"/>
        </w:rPr>
        <w:t>（一）直接或间接持有公司</w:t>
      </w:r>
      <w:r>
        <w:rPr>
          <w:sz w:val="24"/>
        </w:rPr>
        <w:t>5%以</w:t>
      </w:r>
      <w:r>
        <w:rPr>
          <w:rFonts w:hint="eastAsia" w:ascii="宋体" w:hAnsi="宋体"/>
          <w:sz w:val="24"/>
        </w:rPr>
        <w:t xml:space="preserve">上股份的自然人； </w:t>
      </w:r>
    </w:p>
    <w:p w14:paraId="053A98AA">
      <w:pPr>
        <w:spacing w:line="500" w:lineRule="exact"/>
        <w:ind w:firstLine="480" w:firstLineChars="200"/>
        <w:rPr>
          <w:rFonts w:hint="eastAsia" w:ascii="宋体" w:hAnsi="宋体"/>
          <w:sz w:val="24"/>
        </w:rPr>
      </w:pPr>
      <w:r>
        <w:rPr>
          <w:rFonts w:hint="eastAsia" w:ascii="宋体" w:hAnsi="宋体"/>
          <w:sz w:val="24"/>
        </w:rPr>
        <w:t xml:space="preserve">（二）公司董事和高级管理人员； </w:t>
      </w:r>
    </w:p>
    <w:p w14:paraId="7A8DF92D">
      <w:pPr>
        <w:spacing w:line="500" w:lineRule="exact"/>
        <w:ind w:firstLine="480" w:firstLineChars="200"/>
        <w:rPr>
          <w:rFonts w:hint="eastAsia" w:ascii="宋体" w:hAnsi="宋体"/>
          <w:sz w:val="24"/>
        </w:rPr>
      </w:pPr>
      <w:r>
        <w:rPr>
          <w:rFonts w:hint="eastAsia" w:ascii="宋体" w:hAnsi="宋体"/>
          <w:sz w:val="24"/>
        </w:rPr>
        <w:t xml:space="preserve">（三）直接或间接控制公司的法人或者其他组织的董事、监事和高级管理人员； </w:t>
      </w:r>
    </w:p>
    <w:p w14:paraId="4EB37AAC">
      <w:pPr>
        <w:spacing w:line="500" w:lineRule="exact"/>
        <w:ind w:firstLine="480" w:firstLineChars="200"/>
        <w:rPr>
          <w:rFonts w:hint="eastAsia" w:ascii="宋体" w:hAnsi="宋体"/>
          <w:sz w:val="24"/>
        </w:rPr>
      </w:pPr>
      <w:r>
        <w:rPr>
          <w:rFonts w:hint="eastAsia" w:ascii="宋体" w:hAnsi="宋体"/>
          <w:sz w:val="24"/>
        </w:rPr>
        <w:t>（四）本条前三项所述人士的关系密切的家庭成员，包括配偶、父母、配偶的父母、兄弟姐妹及其配偶、年满</w:t>
      </w:r>
      <w:r>
        <w:rPr>
          <w:sz w:val="24"/>
        </w:rPr>
        <w:t>18</w:t>
      </w:r>
      <w:r>
        <w:rPr>
          <w:rFonts w:hint="eastAsia" w:ascii="宋体" w:hAnsi="宋体"/>
          <w:sz w:val="24"/>
        </w:rPr>
        <w:t xml:space="preserve">周岁的子女及其配偶、配偶的兄弟姐妹和子女配偶的父母； </w:t>
      </w:r>
    </w:p>
    <w:p w14:paraId="5547C223">
      <w:pPr>
        <w:spacing w:line="500" w:lineRule="exact"/>
        <w:ind w:firstLine="480" w:firstLineChars="200"/>
        <w:rPr>
          <w:rFonts w:hint="eastAsia" w:ascii="宋体" w:hAnsi="宋体"/>
          <w:sz w:val="24"/>
        </w:rPr>
      </w:pPr>
      <w:r>
        <w:rPr>
          <w:rFonts w:hint="eastAsia" w:ascii="宋体" w:hAnsi="宋体"/>
          <w:sz w:val="24"/>
        </w:rPr>
        <w:t xml:space="preserve">（五）中国证监会、深圳证券交易所或公司根据实质重于形式的原则认定的其他与公司有特殊关系，可能造成公司对其利益倾斜的自然人。 </w:t>
      </w:r>
    </w:p>
    <w:p w14:paraId="25EA5019">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具有以下情形之一的法人或者自然人，视同为公司的关联人： </w:t>
      </w:r>
    </w:p>
    <w:p w14:paraId="6B0BA629">
      <w:pPr>
        <w:spacing w:line="500" w:lineRule="exact"/>
        <w:ind w:firstLine="480" w:firstLineChars="200"/>
        <w:rPr>
          <w:rFonts w:hint="eastAsia" w:ascii="宋体" w:hAnsi="宋体"/>
          <w:sz w:val="24"/>
        </w:rPr>
      </w:pPr>
      <w:r>
        <w:rPr>
          <w:rFonts w:hint="eastAsia" w:ascii="宋体" w:hAnsi="宋体"/>
          <w:sz w:val="24"/>
        </w:rPr>
        <w:t>（一）因与公司或其关联人签署协议或者作出安排，在协议或安排生效后，或在未来</w:t>
      </w:r>
      <w:r>
        <w:rPr>
          <w:sz w:val="24"/>
        </w:rPr>
        <w:t>12</w:t>
      </w:r>
      <w:r>
        <w:rPr>
          <w:rFonts w:hint="eastAsia" w:ascii="宋体" w:hAnsi="宋体"/>
          <w:sz w:val="24"/>
        </w:rPr>
        <w:t xml:space="preserve">个月内，将具有本办法第四条或者第五条规定情形之一的； </w:t>
      </w:r>
    </w:p>
    <w:p w14:paraId="34237CFC">
      <w:pPr>
        <w:spacing w:line="500" w:lineRule="exact"/>
        <w:ind w:firstLine="480" w:firstLineChars="200"/>
        <w:rPr>
          <w:rFonts w:hint="eastAsia" w:ascii="宋体" w:hAnsi="宋体"/>
          <w:sz w:val="24"/>
        </w:rPr>
      </w:pPr>
      <w:r>
        <w:rPr>
          <w:rFonts w:hint="eastAsia" w:ascii="宋体" w:hAnsi="宋体"/>
          <w:sz w:val="24"/>
        </w:rPr>
        <w:t>（二）过去</w:t>
      </w:r>
      <w:r>
        <w:rPr>
          <w:sz w:val="24"/>
        </w:rPr>
        <w:t>12</w:t>
      </w:r>
      <w:r>
        <w:rPr>
          <w:rFonts w:hint="eastAsia" w:ascii="宋体" w:hAnsi="宋体"/>
          <w:sz w:val="24"/>
        </w:rPr>
        <w:t>个月内，曾经具有本办法第四条或者第五条规定情形之一的。</w:t>
      </w:r>
    </w:p>
    <w:p w14:paraId="0A60903B">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公司的关联交易应当遵循以下基本原则：</w:t>
      </w:r>
    </w:p>
    <w:p w14:paraId="4E3FC23B">
      <w:pPr>
        <w:spacing w:line="500" w:lineRule="exact"/>
        <w:ind w:firstLine="480" w:firstLineChars="200"/>
        <w:rPr>
          <w:rFonts w:hint="eastAsia" w:ascii="宋体" w:hAnsi="宋体"/>
          <w:sz w:val="24"/>
        </w:rPr>
      </w:pPr>
      <w:r>
        <w:rPr>
          <w:rFonts w:hint="eastAsia" w:ascii="宋体" w:hAnsi="宋体"/>
          <w:sz w:val="24"/>
        </w:rPr>
        <w:t>（一）诚实信用原则；</w:t>
      </w:r>
    </w:p>
    <w:p w14:paraId="2625A5FD">
      <w:pPr>
        <w:spacing w:line="500" w:lineRule="exact"/>
        <w:ind w:firstLine="480" w:firstLineChars="200"/>
        <w:rPr>
          <w:rFonts w:hint="eastAsia" w:ascii="宋体" w:hAnsi="宋体"/>
          <w:sz w:val="24"/>
        </w:rPr>
      </w:pPr>
      <w:r>
        <w:rPr>
          <w:rFonts w:hint="eastAsia" w:ascii="宋体" w:hAnsi="宋体"/>
          <w:sz w:val="24"/>
        </w:rPr>
        <w:t>（二）公开、公平、公允原则；</w:t>
      </w:r>
    </w:p>
    <w:p w14:paraId="6304AC8E">
      <w:pPr>
        <w:spacing w:line="500" w:lineRule="exact"/>
        <w:ind w:firstLine="480" w:firstLineChars="200"/>
        <w:rPr>
          <w:rFonts w:hint="eastAsia" w:ascii="宋体" w:hAnsi="宋体"/>
          <w:sz w:val="24"/>
        </w:rPr>
      </w:pPr>
      <w:r>
        <w:rPr>
          <w:rFonts w:hint="eastAsia" w:ascii="宋体" w:hAnsi="宋体"/>
          <w:sz w:val="24"/>
        </w:rPr>
        <w:t>（三）关联方回避原则；</w:t>
      </w:r>
    </w:p>
    <w:p w14:paraId="3AAB7203">
      <w:pPr>
        <w:spacing w:line="500" w:lineRule="exact"/>
        <w:ind w:firstLine="480" w:firstLineChars="200"/>
        <w:rPr>
          <w:rFonts w:hint="eastAsia" w:ascii="宋体" w:hAnsi="宋体"/>
          <w:sz w:val="24"/>
        </w:rPr>
      </w:pPr>
      <w:r>
        <w:rPr>
          <w:rFonts w:hint="eastAsia" w:ascii="宋体" w:hAnsi="宋体"/>
          <w:sz w:val="24"/>
        </w:rPr>
        <w:t>（四）有利于公司原则。</w:t>
      </w:r>
    </w:p>
    <w:p w14:paraId="785AE26A">
      <w:pPr>
        <w:spacing w:after="156" w:afterLines="50" w:line="500" w:lineRule="exact"/>
        <w:ind w:firstLine="482" w:firstLineChars="200"/>
        <w:jc w:val="center"/>
        <w:rPr>
          <w:rFonts w:hint="eastAsia" w:ascii="宋体" w:hAnsi="宋体" w:cs="宋体"/>
          <w:b/>
          <w:sz w:val="24"/>
        </w:rPr>
      </w:pPr>
      <w:r>
        <w:rPr>
          <w:rFonts w:hint="eastAsia" w:ascii="宋体" w:hAnsi="宋体" w:cs="宋体"/>
          <w:b/>
          <w:sz w:val="24"/>
        </w:rPr>
        <w:t>第三章 关联交易的价格确定和管理</w:t>
      </w:r>
    </w:p>
    <w:p w14:paraId="57416C61">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关联交易价格是指公司与关联方之间发生的关联交易所涉及之商品或劳务的交易价格。 </w:t>
      </w:r>
    </w:p>
    <w:p w14:paraId="53AF7ED4">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关联交易的定价原则和定价方法：</w:t>
      </w:r>
    </w:p>
    <w:p w14:paraId="0161AA4A">
      <w:pPr>
        <w:spacing w:line="500" w:lineRule="exact"/>
        <w:ind w:firstLine="480" w:firstLineChars="200"/>
        <w:rPr>
          <w:rFonts w:hint="eastAsia" w:ascii="宋体" w:hAnsi="宋体"/>
          <w:sz w:val="24"/>
        </w:rPr>
      </w:pPr>
      <w:r>
        <w:rPr>
          <w:rFonts w:hint="eastAsia" w:ascii="宋体" w:hAnsi="宋体"/>
          <w:sz w:val="24"/>
        </w:rPr>
        <w:t>（一）关联交易的定价主要遵循市场价格的原则；如果没有市场价格，按照成本加成定价；如果既没有市场价格，也不适合采用成本加成定价的，按照协议价定价；</w:t>
      </w:r>
    </w:p>
    <w:p w14:paraId="5BDE6661">
      <w:pPr>
        <w:spacing w:line="500" w:lineRule="exact"/>
        <w:ind w:firstLine="480" w:firstLineChars="200"/>
        <w:rPr>
          <w:rFonts w:hint="eastAsia" w:ascii="宋体" w:hAnsi="宋体"/>
          <w:sz w:val="24"/>
        </w:rPr>
      </w:pPr>
      <w:r>
        <w:rPr>
          <w:rFonts w:hint="eastAsia" w:ascii="宋体" w:hAnsi="宋体"/>
          <w:sz w:val="24"/>
        </w:rPr>
        <w:t>（二）交易双方根据关联交易事项的具体情况确定定价方法，并在相关的关联交易协议中予以明确；</w:t>
      </w:r>
    </w:p>
    <w:p w14:paraId="06F1BDBF">
      <w:pPr>
        <w:spacing w:line="500" w:lineRule="exact"/>
        <w:ind w:firstLine="480" w:firstLineChars="200"/>
        <w:rPr>
          <w:rFonts w:hint="eastAsia" w:ascii="宋体" w:hAnsi="宋体"/>
          <w:sz w:val="24"/>
        </w:rPr>
      </w:pPr>
      <w:r>
        <w:rPr>
          <w:rFonts w:hint="eastAsia" w:ascii="宋体" w:hAnsi="宋体"/>
          <w:sz w:val="24"/>
        </w:rPr>
        <w:t>（三）市场价：以市场价为准确定商品或劳务的价格及费率；</w:t>
      </w:r>
    </w:p>
    <w:p w14:paraId="641C671F">
      <w:pPr>
        <w:spacing w:line="500" w:lineRule="exact"/>
        <w:ind w:firstLine="480" w:firstLineChars="200"/>
        <w:rPr>
          <w:rFonts w:hint="eastAsia" w:ascii="宋体" w:hAnsi="宋体"/>
          <w:sz w:val="24"/>
        </w:rPr>
      </w:pPr>
      <w:r>
        <w:rPr>
          <w:rFonts w:hint="eastAsia" w:ascii="宋体" w:hAnsi="宋体"/>
          <w:sz w:val="24"/>
        </w:rPr>
        <w:t>（四）成本加成价：在交易的商品或劳务的成本基本加合理利润确定交易价格及费率；</w:t>
      </w:r>
    </w:p>
    <w:p w14:paraId="4E4AB3D3">
      <w:pPr>
        <w:spacing w:line="500" w:lineRule="exact"/>
        <w:ind w:firstLine="480" w:firstLineChars="200"/>
        <w:rPr>
          <w:rFonts w:hint="eastAsia" w:ascii="宋体" w:hAnsi="宋体"/>
          <w:sz w:val="24"/>
        </w:rPr>
      </w:pPr>
      <w:r>
        <w:rPr>
          <w:rFonts w:hint="eastAsia" w:ascii="宋体" w:hAnsi="宋体"/>
          <w:sz w:val="24"/>
        </w:rPr>
        <w:t>（五）协议价：由交易双方协商确定价格及费率；</w:t>
      </w:r>
    </w:p>
    <w:p w14:paraId="03999E22">
      <w:pPr>
        <w:spacing w:line="500" w:lineRule="exact"/>
        <w:ind w:firstLine="480" w:firstLineChars="200"/>
        <w:rPr>
          <w:rFonts w:hint="eastAsia" w:ascii="宋体" w:hAnsi="宋体"/>
          <w:sz w:val="24"/>
        </w:rPr>
      </w:pPr>
      <w:r>
        <w:rPr>
          <w:rFonts w:hint="eastAsia" w:ascii="宋体" w:hAnsi="宋体"/>
          <w:sz w:val="24"/>
        </w:rPr>
        <w:t>（六）如国家政府有关部门制定价格的，按照国家政府制定的价格执行。</w:t>
      </w:r>
    </w:p>
    <w:p w14:paraId="5526B93D">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关联交易价格的管理：</w:t>
      </w:r>
    </w:p>
    <w:p w14:paraId="080BB7E7">
      <w:pPr>
        <w:spacing w:line="500" w:lineRule="exact"/>
        <w:ind w:firstLine="480" w:firstLineChars="200"/>
        <w:rPr>
          <w:rFonts w:hint="eastAsia" w:ascii="宋体" w:hAnsi="宋体"/>
          <w:sz w:val="24"/>
        </w:rPr>
      </w:pPr>
      <w:r>
        <w:rPr>
          <w:rFonts w:hint="eastAsia" w:ascii="宋体" w:hAnsi="宋体"/>
          <w:sz w:val="24"/>
        </w:rPr>
        <w:t>（一）关联双方应当按照关联交易协议中约定的价格和实际交易数量计算交易价款，并按照协议中约定的支付方式和支付时间支付；</w:t>
      </w:r>
    </w:p>
    <w:p w14:paraId="11B3004B">
      <w:pPr>
        <w:spacing w:line="500" w:lineRule="exact"/>
        <w:ind w:firstLine="480" w:firstLineChars="200"/>
        <w:rPr>
          <w:rFonts w:hint="eastAsia" w:ascii="宋体" w:hAnsi="宋体"/>
          <w:sz w:val="24"/>
        </w:rPr>
      </w:pPr>
      <w:r>
        <w:rPr>
          <w:rFonts w:hint="eastAsia" w:ascii="宋体" w:hAnsi="宋体"/>
          <w:sz w:val="24"/>
        </w:rPr>
        <w:t>（二）公司财务部应当对公司关联交易的产品市场价格及成本变动情况进行跟踪，做好预防性监控，并将变动情况报公司总经理，并报董事会备案；</w:t>
      </w:r>
    </w:p>
    <w:p w14:paraId="13E66B88">
      <w:pPr>
        <w:spacing w:line="500" w:lineRule="exact"/>
        <w:ind w:firstLine="480" w:firstLineChars="200"/>
        <w:rPr>
          <w:rFonts w:hint="eastAsia" w:ascii="宋体" w:hAnsi="宋体"/>
          <w:sz w:val="24"/>
        </w:rPr>
      </w:pPr>
      <w:r>
        <w:rPr>
          <w:rFonts w:hint="eastAsia" w:ascii="宋体" w:hAnsi="宋体"/>
          <w:sz w:val="24"/>
        </w:rPr>
        <w:t>（三）董事会或独立董事对关联交易价格变动有疑义的，可以聘请中介机构对关联交易价格变动的公允性出具意见。</w:t>
      </w:r>
    </w:p>
    <w:p w14:paraId="06109798">
      <w:pPr>
        <w:spacing w:after="156" w:afterLines="50" w:line="500" w:lineRule="exact"/>
        <w:ind w:firstLine="482" w:firstLineChars="200"/>
        <w:jc w:val="center"/>
        <w:rPr>
          <w:rFonts w:hint="eastAsia" w:ascii="宋体" w:hAnsi="宋体" w:cs="宋体"/>
          <w:b/>
          <w:sz w:val="24"/>
        </w:rPr>
      </w:pPr>
      <w:r>
        <w:rPr>
          <w:rFonts w:hint="eastAsia" w:ascii="宋体" w:hAnsi="宋体" w:cs="宋体"/>
          <w:b/>
          <w:sz w:val="24"/>
        </w:rPr>
        <w:t>第四章  关联交易的决策程序</w:t>
      </w:r>
    </w:p>
    <w:p w14:paraId="1F1F3B55">
      <w:pPr>
        <w:spacing w:before="156" w:beforeLines="50" w:after="156" w:afterLines="50" w:line="500" w:lineRule="exact"/>
        <w:ind w:firstLine="482" w:firstLineChars="200"/>
        <w:jc w:val="center"/>
        <w:rPr>
          <w:rFonts w:hint="eastAsia" w:ascii="宋体" w:hAnsi="宋体"/>
          <w:b/>
          <w:bCs/>
          <w:sz w:val="24"/>
        </w:rPr>
      </w:pPr>
      <w:r>
        <w:rPr>
          <w:rFonts w:hint="eastAsia" w:ascii="宋体" w:hAnsi="宋体"/>
          <w:b/>
          <w:bCs/>
          <w:sz w:val="24"/>
        </w:rPr>
        <w:t>第一节 关联交易的审批权限</w:t>
      </w:r>
    </w:p>
    <w:p w14:paraId="69152045">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公司与关联人发生的交易（提供担保、提供财务资助除外）达到下列标准之一的，应当经全体独立董事过半数同意后履行董事会审议程序，并及时披露：</w:t>
      </w:r>
    </w:p>
    <w:p w14:paraId="6B3A3838">
      <w:pPr>
        <w:spacing w:line="500" w:lineRule="exact"/>
        <w:ind w:firstLine="480" w:firstLineChars="200"/>
        <w:rPr>
          <w:rFonts w:hint="eastAsia" w:ascii="宋体" w:hAnsi="宋体"/>
          <w:sz w:val="24"/>
        </w:rPr>
      </w:pPr>
      <w:r>
        <w:rPr>
          <w:rFonts w:hint="eastAsia" w:ascii="宋体" w:hAnsi="宋体"/>
          <w:sz w:val="24"/>
        </w:rPr>
        <w:t>（一）与关联自然人发生的成交金额超过</w:t>
      </w:r>
      <w:r>
        <w:rPr>
          <w:sz w:val="24"/>
        </w:rPr>
        <w:t>30</w:t>
      </w:r>
      <w:r>
        <w:rPr>
          <w:rFonts w:hint="eastAsia" w:ascii="宋体" w:hAnsi="宋体"/>
          <w:sz w:val="24"/>
        </w:rPr>
        <w:t>万元的交易；</w:t>
      </w:r>
    </w:p>
    <w:p w14:paraId="09DE7E38">
      <w:pPr>
        <w:spacing w:line="500" w:lineRule="exact"/>
        <w:ind w:firstLine="480" w:firstLineChars="200"/>
        <w:rPr>
          <w:rFonts w:hint="eastAsia" w:ascii="宋体" w:hAnsi="宋体"/>
          <w:sz w:val="24"/>
        </w:rPr>
      </w:pPr>
      <w:r>
        <w:rPr>
          <w:rFonts w:hint="eastAsia" w:ascii="宋体" w:hAnsi="宋体"/>
          <w:sz w:val="24"/>
        </w:rPr>
        <w:t>（二）与关联法人发生的成交金额</w:t>
      </w:r>
      <w:r>
        <w:rPr>
          <w:rFonts w:hint="eastAsia"/>
          <w:sz w:val="24"/>
        </w:rPr>
        <w:t>超过</w:t>
      </w:r>
      <w:r>
        <w:rPr>
          <w:sz w:val="24"/>
        </w:rPr>
        <w:t>300</w:t>
      </w:r>
      <w:r>
        <w:rPr>
          <w:rFonts w:hint="eastAsia" w:ascii="宋体" w:hAnsi="宋体"/>
          <w:sz w:val="24"/>
        </w:rPr>
        <w:t>万元，且占公司最近一期经审计净资产绝对值</w:t>
      </w:r>
      <w:r>
        <w:rPr>
          <w:sz w:val="24"/>
        </w:rPr>
        <w:t>0.5%</w:t>
      </w:r>
      <w:r>
        <w:rPr>
          <w:rFonts w:hint="eastAsia" w:ascii="宋体" w:hAnsi="宋体"/>
          <w:sz w:val="24"/>
        </w:rPr>
        <w:t>以上的交易；</w:t>
      </w:r>
    </w:p>
    <w:p w14:paraId="5200AADB">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公司与关联人发生的交易(提供担保除外)金额超过</w:t>
      </w:r>
      <w:r>
        <w:rPr>
          <w:sz w:val="24"/>
        </w:rPr>
        <w:t>3000</w:t>
      </w:r>
      <w:r>
        <w:rPr>
          <w:rFonts w:hint="eastAsia" w:ascii="宋体" w:hAnsi="宋体"/>
          <w:sz w:val="24"/>
        </w:rPr>
        <w:t>万元，且占公司最近一期经审计净资产绝对值</w:t>
      </w:r>
      <w:r>
        <w:rPr>
          <w:sz w:val="24"/>
        </w:rPr>
        <w:t>5%</w:t>
      </w:r>
      <w:r>
        <w:rPr>
          <w:rFonts w:hint="eastAsia" w:ascii="宋体" w:hAnsi="宋体"/>
          <w:sz w:val="24"/>
        </w:rPr>
        <w:t>以上的，应当提交股东会审议，并参照《深圳证券交易所创业板股票上市规则》的规定披露评估或审计报告。</w:t>
      </w:r>
    </w:p>
    <w:p w14:paraId="31684B8F">
      <w:pPr>
        <w:numPr>
          <w:ilvl w:val="255"/>
          <w:numId w:val="0"/>
        </w:numPr>
        <w:tabs>
          <w:tab w:val="left" w:pos="0"/>
        </w:tabs>
        <w:spacing w:before="156" w:beforeLines="50" w:line="500" w:lineRule="exact"/>
        <w:ind w:firstLine="480" w:firstLineChars="200"/>
        <w:rPr>
          <w:rFonts w:hint="eastAsia" w:ascii="宋体" w:hAnsi="宋体"/>
          <w:sz w:val="24"/>
        </w:rPr>
      </w:pPr>
      <w:r>
        <w:rPr>
          <w:rFonts w:ascii="宋体" w:hAnsi="宋体"/>
          <w:sz w:val="24"/>
        </w:rPr>
        <w:t>公司与关联人发生下列情形之一的交易时，可以免于审计或者评估：</w:t>
      </w:r>
    </w:p>
    <w:p w14:paraId="2022A4E2">
      <w:pPr>
        <w:numPr>
          <w:ilvl w:val="255"/>
          <w:numId w:val="0"/>
        </w:numPr>
        <w:spacing w:line="500" w:lineRule="exact"/>
        <w:ind w:firstLine="480" w:firstLineChars="200"/>
        <w:rPr>
          <w:rFonts w:hint="eastAsia" w:ascii="宋体" w:hAnsi="宋体"/>
          <w:sz w:val="24"/>
        </w:rPr>
      </w:pPr>
      <w:r>
        <w:rPr>
          <w:rFonts w:hint="eastAsia" w:ascii="宋体" w:hAnsi="宋体"/>
          <w:sz w:val="24"/>
        </w:rPr>
        <w:t>（一）本办法第十六条规定的日常关联交易；</w:t>
      </w:r>
    </w:p>
    <w:p w14:paraId="7DF82B08">
      <w:pPr>
        <w:numPr>
          <w:ilvl w:val="255"/>
          <w:numId w:val="0"/>
        </w:numPr>
        <w:spacing w:line="500" w:lineRule="exact"/>
        <w:ind w:firstLine="480" w:firstLineChars="200"/>
        <w:rPr>
          <w:rFonts w:hint="eastAsia" w:ascii="宋体" w:hAnsi="宋体"/>
          <w:sz w:val="24"/>
        </w:rPr>
      </w:pPr>
      <w:r>
        <w:rPr>
          <w:rFonts w:hint="eastAsia" w:ascii="宋体" w:hAnsi="宋体"/>
          <w:sz w:val="24"/>
        </w:rPr>
        <w:t>（二）与关联人等各方均以现金出资，且按照出资比例确定各方在所投资主体的权益比例；</w:t>
      </w:r>
    </w:p>
    <w:p w14:paraId="2BDE97DC">
      <w:pPr>
        <w:numPr>
          <w:ilvl w:val="255"/>
          <w:numId w:val="0"/>
        </w:numPr>
        <w:spacing w:line="500" w:lineRule="exact"/>
        <w:ind w:firstLine="480" w:firstLineChars="200"/>
        <w:rPr>
          <w:rFonts w:hint="eastAsia" w:ascii="宋体" w:hAnsi="宋体"/>
          <w:sz w:val="24"/>
        </w:rPr>
      </w:pPr>
      <w:r>
        <w:rPr>
          <w:rFonts w:hint="eastAsia" w:ascii="宋体" w:hAnsi="宋体"/>
          <w:sz w:val="24"/>
        </w:rPr>
        <w:t>（三）深圳证券交易所规定的其他情形。</w:t>
      </w:r>
    </w:p>
    <w:p w14:paraId="38E15EC0">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公司为关联人提供担保的，应当在董事会审议通过后及时披露，并提交股东会审议。</w:t>
      </w:r>
    </w:p>
    <w:p w14:paraId="4148D8DB">
      <w:pPr>
        <w:spacing w:before="156" w:beforeLines="50" w:line="500" w:lineRule="exact"/>
        <w:ind w:firstLine="480" w:firstLineChars="200"/>
        <w:rPr>
          <w:rFonts w:hint="eastAsia" w:ascii="宋体" w:hAnsi="宋体"/>
          <w:sz w:val="24"/>
        </w:rPr>
      </w:pPr>
      <w:r>
        <w:rPr>
          <w:rFonts w:hint="eastAsia" w:ascii="宋体" w:hAnsi="宋体"/>
          <w:sz w:val="24"/>
        </w:rPr>
        <w:t>公司为控股股东、实际控制人及其关联方提供担保的，控股股东、实际控制人及其关联方应当提供反担保。</w:t>
      </w:r>
    </w:p>
    <w:p w14:paraId="2974DBBB">
      <w:pPr>
        <w:spacing w:before="156" w:beforeLines="50" w:line="500" w:lineRule="exact"/>
        <w:ind w:firstLine="480" w:firstLineChars="200"/>
        <w:rPr>
          <w:rFonts w:hint="eastAsia" w:ascii="宋体" w:hAnsi="宋体"/>
          <w:sz w:val="24"/>
        </w:rPr>
      </w:pPr>
      <w:r>
        <w:rPr>
          <w:rFonts w:hint="eastAsia" w:ascii="宋体" w:hAnsi="宋体"/>
          <w:sz w:val="24"/>
        </w:rPr>
        <w:t>公司因交易导致被担保方成为公司的关联人的，在实施该交易或者关联交易的同时，应当就存续的关联担保履行相应审议程序和信息披露义务。</w:t>
      </w:r>
    </w:p>
    <w:p w14:paraId="393B012A">
      <w:pPr>
        <w:spacing w:before="156" w:beforeLines="50" w:line="500" w:lineRule="exact"/>
        <w:ind w:firstLine="480" w:firstLineChars="200"/>
        <w:rPr>
          <w:rFonts w:hint="eastAsia" w:ascii="宋体" w:hAnsi="宋体"/>
          <w:sz w:val="24"/>
        </w:rPr>
      </w:pPr>
      <w:r>
        <w:rPr>
          <w:rFonts w:hint="eastAsia" w:ascii="宋体" w:hAnsi="宋体"/>
          <w:sz w:val="24"/>
        </w:rPr>
        <w:t>董事会或者股东会未审议通过前款规定的关联担保事项的，交易各方应当采取提前终止担保等有效措施。</w:t>
      </w:r>
    </w:p>
    <w:p w14:paraId="146EF3DF">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公司不得为关联人提供财务资助，但向关联参股公司（不包括由公司控股股东、实际控制人控制的主体）提供财务资助，且该参股公司的其他股东按出资比例提供同等条件财务资助的情形除外。</w:t>
      </w:r>
    </w:p>
    <w:p w14:paraId="6D7352CC">
      <w:pPr>
        <w:spacing w:before="156" w:beforeLines="50" w:line="500" w:lineRule="exact"/>
        <w:ind w:firstLine="480" w:firstLineChars="200"/>
        <w:rPr>
          <w:rFonts w:hint="eastAsia" w:ascii="宋体" w:hAnsi="宋体"/>
          <w:sz w:val="24"/>
        </w:rPr>
      </w:pPr>
      <w:r>
        <w:rPr>
          <w:rFonts w:hint="eastAsia" w:ascii="宋体" w:hAnsi="宋体"/>
          <w:sz w:val="24"/>
        </w:rPr>
        <w:t>公司向前款规定的关联参股公司提供财务资助的，除应当经全体非关联董事的过半数审议通过外，还应当经出席董事会会议的非关联董事的</w:t>
      </w:r>
      <w:r>
        <w:rPr>
          <w:sz w:val="24"/>
        </w:rPr>
        <w:t>2/3</w:t>
      </w:r>
      <w:r>
        <w:rPr>
          <w:rFonts w:hint="eastAsia" w:ascii="宋体" w:hAnsi="宋体"/>
          <w:sz w:val="24"/>
        </w:rPr>
        <w:t>以上董事审议通过，并提交股东会审议。</w:t>
      </w:r>
    </w:p>
    <w:p w14:paraId="1BA0EB8A">
      <w:pPr>
        <w:spacing w:line="500" w:lineRule="exact"/>
        <w:ind w:firstLine="480" w:firstLineChars="200"/>
        <w:rPr>
          <w:rFonts w:hint="eastAsia" w:ascii="宋体" w:hAnsi="宋体"/>
          <w:sz w:val="24"/>
        </w:rPr>
      </w:pPr>
      <w:r>
        <w:rPr>
          <w:rFonts w:hint="eastAsia" w:ascii="宋体" w:hAnsi="宋体"/>
          <w:sz w:val="24"/>
        </w:rPr>
        <w:t>本条所称关联参股公司，是指由公司参股且属于本办法第四条规定的公司的关联法人或其他组织。</w:t>
      </w:r>
    </w:p>
    <w:p w14:paraId="4D6B2CAC">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公司在连续</w:t>
      </w:r>
      <w:r>
        <w:rPr>
          <w:sz w:val="24"/>
        </w:rPr>
        <w:t>12</w:t>
      </w:r>
      <w:r>
        <w:rPr>
          <w:rFonts w:hint="eastAsia" w:ascii="宋体" w:hAnsi="宋体"/>
          <w:sz w:val="24"/>
        </w:rPr>
        <w:t>个月内发生的下列关联交易，应当按照累计计算的原则适用本办法第十一条、第十二条规定：</w:t>
      </w:r>
    </w:p>
    <w:p w14:paraId="1C04C6B1">
      <w:pPr>
        <w:spacing w:line="500" w:lineRule="exact"/>
        <w:ind w:firstLine="480" w:firstLineChars="200"/>
        <w:rPr>
          <w:rFonts w:hint="eastAsia" w:ascii="宋体" w:hAnsi="宋体"/>
          <w:sz w:val="24"/>
        </w:rPr>
      </w:pPr>
      <w:r>
        <w:rPr>
          <w:rFonts w:hint="eastAsia" w:ascii="宋体" w:hAnsi="宋体"/>
          <w:sz w:val="24"/>
        </w:rPr>
        <w:t>（一）与同一关联人进行的交易；</w:t>
      </w:r>
    </w:p>
    <w:p w14:paraId="0E92743E">
      <w:pPr>
        <w:spacing w:line="500" w:lineRule="exact"/>
        <w:ind w:firstLine="480" w:firstLineChars="200"/>
        <w:rPr>
          <w:rFonts w:hint="eastAsia" w:ascii="宋体" w:hAnsi="宋体"/>
          <w:sz w:val="24"/>
        </w:rPr>
      </w:pPr>
      <w:r>
        <w:rPr>
          <w:rFonts w:hint="eastAsia" w:ascii="宋体" w:hAnsi="宋体"/>
          <w:sz w:val="24"/>
        </w:rPr>
        <w:t>（二）与不同关联人进行的与同一交易标的相关的交易。</w:t>
      </w:r>
    </w:p>
    <w:p w14:paraId="65087DB1">
      <w:pPr>
        <w:spacing w:line="500" w:lineRule="exact"/>
        <w:ind w:firstLine="480" w:firstLineChars="200"/>
        <w:rPr>
          <w:rFonts w:hint="eastAsia" w:ascii="宋体" w:hAnsi="宋体"/>
          <w:sz w:val="24"/>
        </w:rPr>
      </w:pPr>
      <w:r>
        <w:rPr>
          <w:rFonts w:hint="eastAsia" w:ascii="宋体" w:hAnsi="宋体"/>
          <w:sz w:val="24"/>
        </w:rPr>
        <w:t>上述同一关联人包括与该关联人受同一主体控制或者相互存在股权控制关系的其他关联人。</w:t>
      </w:r>
    </w:p>
    <w:p w14:paraId="05BA4803">
      <w:pPr>
        <w:spacing w:line="500" w:lineRule="exact"/>
        <w:ind w:firstLine="480" w:firstLineChars="200"/>
        <w:rPr>
          <w:rFonts w:hint="eastAsia" w:ascii="宋体" w:hAnsi="宋体"/>
          <w:sz w:val="24"/>
        </w:rPr>
      </w:pPr>
      <w:r>
        <w:rPr>
          <w:rFonts w:hint="eastAsia" w:ascii="宋体" w:hAnsi="宋体"/>
          <w:sz w:val="24"/>
        </w:rPr>
        <w:t>已按照第十一条、第十二条规定履行相关义务的，不再纳入相关的累计计算范围。</w:t>
      </w:r>
    </w:p>
    <w:p w14:paraId="3B5AFE6E">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公司与关联人进行日常关联交易时，按照下列规定披露和履行相应审议程序：</w:t>
      </w:r>
    </w:p>
    <w:p w14:paraId="01C37AC2">
      <w:pPr>
        <w:spacing w:line="500" w:lineRule="exact"/>
        <w:ind w:firstLine="480" w:firstLineChars="200"/>
        <w:rPr>
          <w:rFonts w:hint="eastAsia" w:ascii="宋体" w:hAnsi="宋体"/>
          <w:sz w:val="24"/>
        </w:rPr>
      </w:pPr>
      <w:r>
        <w:rPr>
          <w:rFonts w:hint="eastAsia" w:ascii="宋体" w:hAnsi="宋体"/>
          <w:sz w:val="24"/>
        </w:rPr>
        <w:t>（一）公司可以按类别合理预计日常关联交易年度金额，履行审议程序并披露；实际执行超出预计金额，应当根据超出金额重新履行相关审议程序和披露义务；</w:t>
      </w:r>
    </w:p>
    <w:p w14:paraId="626F4E69">
      <w:pPr>
        <w:spacing w:line="500" w:lineRule="exact"/>
        <w:ind w:firstLine="480" w:firstLineChars="200"/>
        <w:rPr>
          <w:rFonts w:hint="eastAsia" w:ascii="宋体" w:hAnsi="宋体"/>
          <w:sz w:val="24"/>
        </w:rPr>
      </w:pPr>
      <w:r>
        <w:rPr>
          <w:rFonts w:hint="eastAsia" w:ascii="宋体" w:hAnsi="宋体"/>
          <w:sz w:val="24"/>
        </w:rPr>
        <w:t>（二）公司年度报告和半年度报告应当分类汇总披露日常关联交易；</w:t>
      </w:r>
    </w:p>
    <w:p w14:paraId="3D7C728E">
      <w:pPr>
        <w:numPr>
          <w:ilvl w:val="255"/>
          <w:numId w:val="0"/>
        </w:numPr>
        <w:spacing w:line="500" w:lineRule="exact"/>
        <w:ind w:firstLine="480" w:firstLineChars="200"/>
        <w:rPr>
          <w:rFonts w:hint="eastAsia" w:ascii="宋体" w:hAnsi="宋体"/>
          <w:sz w:val="24"/>
        </w:rPr>
      </w:pPr>
      <w:r>
        <w:rPr>
          <w:rFonts w:hint="eastAsia" w:ascii="宋体" w:hAnsi="宋体"/>
          <w:sz w:val="24"/>
        </w:rPr>
        <w:t>（三）公司与关联人签订日常关联交易协议的期限超过</w:t>
      </w:r>
      <w:r>
        <w:rPr>
          <w:sz w:val="24"/>
        </w:rPr>
        <w:t>3</w:t>
      </w:r>
      <w:r>
        <w:rPr>
          <w:rFonts w:hint="eastAsia" w:ascii="宋体" w:hAnsi="宋体"/>
          <w:sz w:val="24"/>
        </w:rPr>
        <w:t>年的，应当每</w:t>
      </w:r>
      <w:r>
        <w:rPr>
          <w:sz w:val="24"/>
        </w:rPr>
        <w:t>3</w:t>
      </w:r>
      <w:r>
        <w:rPr>
          <w:rFonts w:hint="eastAsia" w:ascii="宋体" w:hAnsi="宋体"/>
          <w:sz w:val="24"/>
        </w:rPr>
        <w:t>年重新履行审议程序及披露义务。</w:t>
      </w:r>
    </w:p>
    <w:p w14:paraId="4126A3CB">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日常关联交易协议至少应当包括交易价格、定价原则和依据、交易总量或其确定方法、付款方式等主要条款。</w:t>
      </w:r>
    </w:p>
    <w:p w14:paraId="5547EF8F">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公司与关联人发生的下列交易，可以豁免按照本办法第十二条的规定提交股东会审议：</w:t>
      </w:r>
      <w:r>
        <w:rPr>
          <w:rFonts w:ascii="宋体" w:hAnsi="宋体"/>
          <w:sz w:val="24"/>
        </w:rPr>
        <w:t xml:space="preserve"> </w:t>
      </w:r>
    </w:p>
    <w:p w14:paraId="32375DAE">
      <w:pPr>
        <w:spacing w:line="500" w:lineRule="exact"/>
        <w:ind w:firstLine="480" w:firstLineChars="200"/>
        <w:rPr>
          <w:rFonts w:hint="eastAsia" w:ascii="宋体" w:hAnsi="宋体"/>
          <w:sz w:val="24"/>
        </w:rPr>
      </w:pPr>
      <w:r>
        <w:rPr>
          <w:rFonts w:hint="eastAsia" w:ascii="宋体" w:hAnsi="宋体"/>
          <w:sz w:val="24"/>
        </w:rPr>
        <w:t>（一）面向不特定对象的公开招标、公开拍卖的（不含邀标等受限方式），但招标、拍卖等难以形成公允价格的除外；</w:t>
      </w:r>
    </w:p>
    <w:p w14:paraId="443B3499">
      <w:pPr>
        <w:spacing w:line="500" w:lineRule="exact"/>
        <w:ind w:firstLine="480" w:firstLineChars="200"/>
        <w:rPr>
          <w:rFonts w:hint="eastAsia" w:ascii="宋体" w:hAnsi="宋体"/>
          <w:sz w:val="24"/>
        </w:rPr>
      </w:pPr>
      <w:r>
        <w:rPr>
          <w:rFonts w:hint="eastAsia" w:ascii="宋体" w:hAnsi="宋体"/>
          <w:sz w:val="24"/>
        </w:rPr>
        <w:t>（二）公司单方面获得利益的交易，包括受赠现金资产、获得债务减免等；</w:t>
      </w:r>
    </w:p>
    <w:p w14:paraId="7CFED25A">
      <w:pPr>
        <w:spacing w:line="500" w:lineRule="exact"/>
        <w:ind w:firstLine="480" w:firstLineChars="200"/>
        <w:rPr>
          <w:rFonts w:hint="eastAsia" w:ascii="宋体" w:hAnsi="宋体"/>
          <w:sz w:val="24"/>
        </w:rPr>
      </w:pPr>
      <w:r>
        <w:rPr>
          <w:rFonts w:hint="eastAsia" w:ascii="宋体" w:hAnsi="宋体"/>
          <w:sz w:val="24"/>
        </w:rPr>
        <w:t>（三）关联交易定价为国家规定的；</w:t>
      </w:r>
    </w:p>
    <w:p w14:paraId="0C7D3857">
      <w:pPr>
        <w:spacing w:line="500" w:lineRule="exact"/>
        <w:ind w:firstLine="480" w:firstLineChars="200"/>
        <w:rPr>
          <w:rFonts w:hint="eastAsia" w:ascii="宋体" w:hAnsi="宋体"/>
          <w:sz w:val="24"/>
        </w:rPr>
      </w:pPr>
      <w:r>
        <w:rPr>
          <w:rFonts w:hint="eastAsia" w:ascii="宋体" w:hAnsi="宋体"/>
          <w:sz w:val="24"/>
        </w:rPr>
        <w:t>（四）关联人向公司提供资金，利率不高于中国人民银行规定的贷款市场报价利率，且本公司无相应担保；</w:t>
      </w:r>
    </w:p>
    <w:p w14:paraId="1F7C6B24">
      <w:pPr>
        <w:spacing w:line="500" w:lineRule="exact"/>
        <w:ind w:firstLine="480" w:firstLineChars="200"/>
        <w:rPr>
          <w:rFonts w:hint="eastAsia" w:ascii="宋体" w:hAnsi="宋体"/>
          <w:sz w:val="24"/>
        </w:rPr>
      </w:pPr>
      <w:r>
        <w:rPr>
          <w:rFonts w:hint="eastAsia" w:ascii="宋体" w:hAnsi="宋体"/>
          <w:sz w:val="24"/>
        </w:rPr>
        <w:t>（五）公司按与非关联人同等交易条件，向董事、高级管理人员提供产品和服务的。</w:t>
      </w:r>
    </w:p>
    <w:p w14:paraId="365FA9E0">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公司与关联人发生下列关联交易，可以免予按照本办法规定履行相关义务：</w:t>
      </w:r>
    </w:p>
    <w:p w14:paraId="4BD06EB7">
      <w:pPr>
        <w:spacing w:line="500" w:lineRule="exact"/>
        <w:ind w:firstLine="480" w:firstLineChars="200"/>
        <w:rPr>
          <w:rFonts w:hint="eastAsia" w:ascii="宋体" w:hAnsi="宋体"/>
          <w:sz w:val="24"/>
        </w:rPr>
      </w:pPr>
      <w:r>
        <w:rPr>
          <w:rFonts w:hint="eastAsia" w:ascii="宋体" w:hAnsi="宋体"/>
          <w:sz w:val="24"/>
        </w:rPr>
        <w:t>（一）一方以现金方式认购另</w:t>
      </w:r>
      <w:r>
        <w:rPr>
          <w:rFonts w:hint="eastAsia" w:ascii="宋体" w:hAnsi="宋体"/>
          <w:sz w:val="24"/>
          <w:lang w:val="en-US" w:eastAsia="zh-CN"/>
        </w:rPr>
        <w:t>一方</w:t>
      </w:r>
      <w:r>
        <w:rPr>
          <w:rFonts w:hint="eastAsia" w:ascii="宋体" w:hAnsi="宋体"/>
          <w:sz w:val="24"/>
        </w:rPr>
        <w:t>向不特定对象发行的股票、公司债券或者企业债券、可转换公司债券或者其他衍生品种；</w:t>
      </w:r>
    </w:p>
    <w:p w14:paraId="65164319">
      <w:pPr>
        <w:spacing w:line="500" w:lineRule="exact"/>
        <w:ind w:firstLine="480" w:firstLineChars="200"/>
        <w:rPr>
          <w:rFonts w:hint="eastAsia" w:ascii="宋体" w:hAnsi="宋体"/>
          <w:sz w:val="24"/>
        </w:rPr>
      </w:pPr>
      <w:r>
        <w:rPr>
          <w:rFonts w:hint="eastAsia" w:ascii="宋体" w:hAnsi="宋体"/>
          <w:sz w:val="24"/>
        </w:rPr>
        <w:t>（二）一方作为承销团成员承销另一方向不特定对象发行的股票、公司债券或者企业债券、可转换公司债券或者其他衍生品种；</w:t>
      </w:r>
    </w:p>
    <w:p w14:paraId="273868F9">
      <w:pPr>
        <w:spacing w:line="500" w:lineRule="exact"/>
        <w:ind w:firstLine="480" w:firstLineChars="200"/>
        <w:rPr>
          <w:rFonts w:hint="eastAsia" w:ascii="宋体" w:hAnsi="宋体"/>
          <w:sz w:val="24"/>
        </w:rPr>
      </w:pPr>
      <w:r>
        <w:rPr>
          <w:rFonts w:hint="eastAsia" w:ascii="宋体" w:hAnsi="宋体"/>
          <w:sz w:val="24"/>
        </w:rPr>
        <w:t>（三）一方依据另一方股东会决议领取股息、红利或者报酬；</w:t>
      </w:r>
    </w:p>
    <w:p w14:paraId="5743EE85">
      <w:pPr>
        <w:spacing w:line="500" w:lineRule="exact"/>
        <w:ind w:firstLine="480" w:firstLineChars="200"/>
        <w:rPr>
          <w:rFonts w:hint="eastAsia" w:ascii="宋体" w:hAnsi="宋体"/>
          <w:sz w:val="24"/>
        </w:rPr>
      </w:pPr>
      <w:r>
        <w:rPr>
          <w:rFonts w:hint="eastAsia" w:ascii="宋体" w:hAnsi="宋体"/>
          <w:sz w:val="24"/>
        </w:rPr>
        <w:t>（四）深圳证券交易所认定的其他交易。</w:t>
      </w:r>
    </w:p>
    <w:p w14:paraId="0E584342">
      <w:pPr>
        <w:spacing w:before="156" w:beforeLines="50" w:after="156" w:afterLines="50" w:line="500" w:lineRule="exact"/>
        <w:ind w:firstLine="482" w:firstLineChars="200"/>
        <w:jc w:val="center"/>
        <w:rPr>
          <w:rFonts w:hint="eastAsia" w:ascii="宋体" w:hAnsi="宋体"/>
          <w:b/>
          <w:bCs/>
          <w:sz w:val="24"/>
        </w:rPr>
      </w:pPr>
      <w:r>
        <w:rPr>
          <w:rFonts w:hint="eastAsia" w:ascii="宋体" w:hAnsi="宋体"/>
          <w:b/>
          <w:bCs/>
          <w:sz w:val="24"/>
        </w:rPr>
        <w:t>第二节  关联交易审议程序</w:t>
      </w:r>
    </w:p>
    <w:p w14:paraId="477C06CA">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公司应按照本办法的规定，确定公司关联方的名单。公司董事、高级管理人员、持股</w:t>
      </w:r>
      <w:r>
        <w:rPr>
          <w:sz w:val="24"/>
        </w:rPr>
        <w:t>5%</w:t>
      </w:r>
      <w:r>
        <w:rPr>
          <w:rFonts w:hint="eastAsia" w:ascii="宋体" w:hAnsi="宋体"/>
          <w:sz w:val="24"/>
        </w:rPr>
        <w:t>以上的股东及其一致行动人、实际控制人，应当及时向董事会报送公司关联人名单及关联关系的说明，由公司做好登记管理工作，及时更新关联方名单，确保关联方名单真实、准确、完整。</w:t>
      </w:r>
    </w:p>
    <w:p w14:paraId="3BA05474">
      <w:pPr>
        <w:spacing w:line="500" w:lineRule="exact"/>
        <w:ind w:firstLine="480" w:firstLineChars="200"/>
        <w:rPr>
          <w:rFonts w:hint="eastAsia" w:ascii="宋体" w:hAnsi="宋体"/>
          <w:sz w:val="24"/>
        </w:rPr>
      </w:pPr>
      <w:r>
        <w:rPr>
          <w:rFonts w:hint="eastAsia" w:ascii="宋体" w:hAnsi="宋体"/>
          <w:sz w:val="24"/>
        </w:rPr>
        <w:t>公司及其下属控股子公司在发生交易活动时，相关责任人应仔细查阅关联方名单，审慎判断是否构成关联交易。如果构成关联交易，应在各自权限内履行审批、报告义务。</w:t>
      </w:r>
    </w:p>
    <w:p w14:paraId="35435E19">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董事会审议关联交易事项时，关联董事应当回避表决，也不得代理其他董事行使表决权，其表决权不计入表决权总数；该董事会会议由过半数的非关联董事出席即可举行，董事会会议所作决议须经非关联董事过半数通过。出席董事会的非关联董事人数不足</w:t>
      </w:r>
      <w:r>
        <w:rPr>
          <w:sz w:val="24"/>
        </w:rPr>
        <w:t>3</w:t>
      </w:r>
      <w:r>
        <w:rPr>
          <w:rFonts w:hint="eastAsia" w:ascii="宋体" w:hAnsi="宋体"/>
          <w:sz w:val="24"/>
        </w:rPr>
        <w:t>人时，公司应当将该交易提交股东会审议。</w:t>
      </w:r>
    </w:p>
    <w:p w14:paraId="0D3033CC">
      <w:pPr>
        <w:spacing w:line="500" w:lineRule="exact"/>
        <w:ind w:firstLine="480" w:firstLineChars="200"/>
        <w:rPr>
          <w:rFonts w:hint="eastAsia" w:ascii="宋体" w:hAnsi="宋体"/>
          <w:sz w:val="24"/>
        </w:rPr>
      </w:pPr>
      <w:r>
        <w:rPr>
          <w:rFonts w:hint="eastAsia" w:ascii="宋体" w:hAnsi="宋体"/>
          <w:sz w:val="24"/>
        </w:rPr>
        <w:t xml:space="preserve">前款所称关联董事包括下列董事或具有下列情形之一的董事： </w:t>
      </w:r>
    </w:p>
    <w:p w14:paraId="0E2F1930">
      <w:pPr>
        <w:numPr>
          <w:ilvl w:val="0"/>
          <w:numId w:val="2"/>
        </w:numPr>
        <w:spacing w:line="500" w:lineRule="exact"/>
        <w:rPr>
          <w:rFonts w:hint="eastAsia" w:ascii="宋体" w:hAnsi="宋体"/>
          <w:sz w:val="24"/>
        </w:rPr>
      </w:pPr>
      <w:r>
        <w:rPr>
          <w:rFonts w:hint="eastAsia" w:ascii="宋体" w:hAnsi="宋体"/>
          <w:sz w:val="24"/>
        </w:rPr>
        <w:t>交易对方；</w:t>
      </w:r>
    </w:p>
    <w:p w14:paraId="24B84F3D">
      <w:pPr>
        <w:numPr>
          <w:ilvl w:val="0"/>
          <w:numId w:val="2"/>
        </w:numPr>
        <w:spacing w:line="500" w:lineRule="exact"/>
        <w:rPr>
          <w:rFonts w:hint="eastAsia" w:ascii="宋体" w:hAnsi="宋体"/>
          <w:sz w:val="24"/>
        </w:rPr>
      </w:pPr>
      <w:r>
        <w:rPr>
          <w:rFonts w:hint="eastAsia" w:ascii="宋体" w:hAnsi="宋体"/>
          <w:sz w:val="24"/>
        </w:rPr>
        <w:t>在交易对方任职，或者在能直接或间接控制该交易对方的法人或其他组织、该交易对方直接或间接控制的法人或其他组织任职；</w:t>
      </w:r>
    </w:p>
    <w:p w14:paraId="31D1F6D6">
      <w:pPr>
        <w:numPr>
          <w:ilvl w:val="0"/>
          <w:numId w:val="2"/>
        </w:numPr>
        <w:spacing w:line="500" w:lineRule="exact"/>
        <w:rPr>
          <w:rFonts w:hint="eastAsia" w:ascii="宋体" w:hAnsi="宋体"/>
          <w:sz w:val="24"/>
        </w:rPr>
      </w:pPr>
      <w:r>
        <w:rPr>
          <w:rFonts w:hint="eastAsia" w:ascii="宋体" w:hAnsi="宋体"/>
          <w:sz w:val="24"/>
        </w:rPr>
        <w:t>拥有交易对方的直接或间接控制权的；</w:t>
      </w:r>
    </w:p>
    <w:p w14:paraId="5F672321">
      <w:pPr>
        <w:numPr>
          <w:ilvl w:val="0"/>
          <w:numId w:val="2"/>
        </w:numPr>
        <w:spacing w:line="500" w:lineRule="exact"/>
        <w:rPr>
          <w:rFonts w:hint="eastAsia" w:ascii="宋体" w:hAnsi="宋体"/>
          <w:sz w:val="24"/>
        </w:rPr>
      </w:pPr>
      <w:r>
        <w:rPr>
          <w:rFonts w:hint="eastAsia" w:ascii="宋体" w:hAnsi="宋体"/>
          <w:sz w:val="24"/>
        </w:rPr>
        <w:t>交易对方或者其直接或间接控制人的关系密切的家庭成员；</w:t>
      </w:r>
    </w:p>
    <w:p w14:paraId="5D6FF530">
      <w:pPr>
        <w:numPr>
          <w:ilvl w:val="0"/>
          <w:numId w:val="2"/>
        </w:numPr>
        <w:spacing w:line="500" w:lineRule="exact"/>
        <w:rPr>
          <w:rFonts w:hint="eastAsia" w:ascii="宋体" w:hAnsi="宋体"/>
          <w:sz w:val="24"/>
        </w:rPr>
      </w:pPr>
      <w:r>
        <w:rPr>
          <w:rFonts w:hint="eastAsia" w:ascii="宋体" w:hAnsi="宋体"/>
          <w:sz w:val="24"/>
        </w:rPr>
        <w:t>交易对方或者其直接或间接控制人的董事、监事和高级管理人员的关系密切的家庭成员；</w:t>
      </w:r>
    </w:p>
    <w:p w14:paraId="2C5ACB59">
      <w:pPr>
        <w:numPr>
          <w:ilvl w:val="0"/>
          <w:numId w:val="2"/>
        </w:numPr>
        <w:spacing w:line="500" w:lineRule="exact"/>
        <w:rPr>
          <w:rFonts w:hint="eastAsia" w:ascii="宋体" w:hAnsi="宋体"/>
          <w:sz w:val="24"/>
        </w:rPr>
      </w:pPr>
      <w:r>
        <w:rPr>
          <w:rFonts w:hint="eastAsia" w:ascii="宋体" w:hAnsi="宋体"/>
          <w:sz w:val="24"/>
        </w:rPr>
        <w:t>中国证监会、深圳证券交易所或公司认定的因其他原因使其独立的商业判断可能受到影响的人士。</w:t>
      </w:r>
    </w:p>
    <w:p w14:paraId="57588381">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应予回避的董事应在董事会召开后，就关联交易讨论前表明自己回避的情形；该董事未主动做出回避说明的，董事会在关联交易审查中判断其具备回避的情形，应明确告知该董事，并在会议记录及董事会决议中记载该事由，该董事不得参加关联交易的表决。</w:t>
      </w:r>
    </w:p>
    <w:p w14:paraId="4FAA72F9">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董事会依照董事会会议召集、召开程序就是否属于关联交易做出合理判断并决议；若符合本办法规定需提交股东会审议的，应作出报股东会审议的决议并在决议中确定股东会的通知，通知中应明确说明涉及关联交易的内容、性质及关联情况。</w:t>
      </w:r>
    </w:p>
    <w:p w14:paraId="35D8032A">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董事会审议关联交易等事项的，由独立董事专门会议事先认可，经公司全体独立董事过半数同意后，提交董事会审议</w:t>
      </w:r>
      <w:r>
        <w:rPr>
          <w:rFonts w:hint="eastAsia"/>
        </w:rPr>
        <w:t>。</w:t>
      </w:r>
      <w:r>
        <w:rPr>
          <w:rFonts w:hint="eastAsia" w:ascii="宋体" w:hAnsi="宋体"/>
          <w:sz w:val="24"/>
        </w:rPr>
        <w:t>董事会就关联交易事项的表决，董事会、独立董事认为合适的情况下，可以聘请律师、注册会计师就此提供专业意见，聘请费用由公司承担。</w:t>
      </w:r>
    </w:p>
    <w:p w14:paraId="7F59CBCE">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公司股东会审议关联交易事项时，关联股东应当回避表决，也不得代理其他股东行使表决权。 </w:t>
      </w:r>
    </w:p>
    <w:p w14:paraId="65CBC3A4">
      <w:pPr>
        <w:spacing w:line="500" w:lineRule="exact"/>
        <w:ind w:firstLine="480" w:firstLineChars="200"/>
        <w:rPr>
          <w:rFonts w:hint="eastAsia" w:ascii="宋体" w:hAnsi="宋体"/>
          <w:sz w:val="24"/>
        </w:rPr>
      </w:pPr>
      <w:r>
        <w:rPr>
          <w:rFonts w:hint="eastAsia" w:ascii="宋体" w:hAnsi="宋体"/>
          <w:sz w:val="24"/>
        </w:rPr>
        <w:t xml:space="preserve">前款所称关联股东包括下列股东或者具有下列情形之一的股东： </w:t>
      </w:r>
    </w:p>
    <w:p w14:paraId="19781ED6">
      <w:pPr>
        <w:spacing w:line="500" w:lineRule="exact"/>
        <w:ind w:firstLine="480" w:firstLineChars="200"/>
        <w:rPr>
          <w:rFonts w:hint="eastAsia" w:ascii="宋体" w:hAnsi="宋体"/>
          <w:sz w:val="24"/>
        </w:rPr>
      </w:pPr>
      <w:r>
        <w:rPr>
          <w:rFonts w:hint="eastAsia" w:ascii="宋体" w:hAnsi="宋体"/>
          <w:sz w:val="24"/>
        </w:rPr>
        <w:t xml:space="preserve">（一）交易对方； </w:t>
      </w:r>
    </w:p>
    <w:p w14:paraId="149298F6">
      <w:pPr>
        <w:spacing w:line="500" w:lineRule="exact"/>
        <w:ind w:firstLine="480" w:firstLineChars="200"/>
        <w:rPr>
          <w:rFonts w:hint="eastAsia" w:ascii="宋体" w:hAnsi="宋体"/>
          <w:sz w:val="24"/>
        </w:rPr>
      </w:pPr>
      <w:r>
        <w:rPr>
          <w:rFonts w:hint="eastAsia" w:ascii="宋体" w:hAnsi="宋体"/>
          <w:sz w:val="24"/>
        </w:rPr>
        <w:t xml:space="preserve">（二）拥有交易对方的直接或者间接控制权的； </w:t>
      </w:r>
    </w:p>
    <w:p w14:paraId="62527816">
      <w:pPr>
        <w:spacing w:line="500" w:lineRule="exact"/>
        <w:ind w:firstLine="480" w:firstLineChars="200"/>
        <w:rPr>
          <w:rFonts w:hint="eastAsia" w:ascii="宋体" w:hAnsi="宋体"/>
          <w:sz w:val="24"/>
        </w:rPr>
      </w:pPr>
      <w:r>
        <w:rPr>
          <w:rFonts w:hint="eastAsia" w:ascii="宋体" w:hAnsi="宋体"/>
          <w:sz w:val="24"/>
        </w:rPr>
        <w:t>（三）被交易对方直接或者间接控制的；</w:t>
      </w:r>
    </w:p>
    <w:p w14:paraId="6B124818">
      <w:pPr>
        <w:spacing w:line="500" w:lineRule="exact"/>
        <w:ind w:firstLine="480" w:firstLineChars="200"/>
        <w:rPr>
          <w:rFonts w:hint="eastAsia" w:ascii="宋体" w:hAnsi="宋体"/>
          <w:sz w:val="24"/>
        </w:rPr>
      </w:pPr>
      <w:r>
        <w:rPr>
          <w:rFonts w:hint="eastAsia" w:ascii="宋体" w:hAnsi="宋体"/>
          <w:sz w:val="24"/>
        </w:rPr>
        <w:t>（四）与交易对方受同一法人或者自然人直接或间接控制的；</w:t>
      </w:r>
    </w:p>
    <w:p w14:paraId="3CAE1DCE">
      <w:pPr>
        <w:spacing w:line="500" w:lineRule="exact"/>
        <w:ind w:firstLine="480" w:firstLineChars="200"/>
        <w:rPr>
          <w:rFonts w:hint="eastAsia" w:ascii="宋体" w:hAnsi="宋体"/>
          <w:sz w:val="24"/>
        </w:rPr>
      </w:pPr>
      <w:r>
        <w:rPr>
          <w:rFonts w:hint="eastAsia" w:ascii="宋体" w:hAnsi="宋体"/>
          <w:sz w:val="24"/>
        </w:rPr>
        <w:t>（五）交易对方或者其直接或间接控制人的关系密切的家庭成员；</w:t>
      </w:r>
    </w:p>
    <w:p w14:paraId="6A1A744A">
      <w:pPr>
        <w:spacing w:line="500" w:lineRule="exact"/>
        <w:ind w:firstLine="480" w:firstLineChars="200"/>
        <w:rPr>
          <w:rFonts w:hint="eastAsia" w:ascii="宋体" w:hAnsi="宋体"/>
          <w:color w:val="000000"/>
          <w:kern w:val="28"/>
          <w:sz w:val="24"/>
        </w:rPr>
      </w:pPr>
      <w:r>
        <w:rPr>
          <w:rFonts w:hint="eastAsia" w:ascii="宋体" w:hAnsi="宋体"/>
          <w:sz w:val="24"/>
        </w:rPr>
        <w:t>（六）</w:t>
      </w:r>
      <w:r>
        <w:rPr>
          <w:rFonts w:hint="eastAsia" w:ascii="宋体" w:hAnsi="宋体"/>
          <w:color w:val="000000"/>
          <w:kern w:val="28"/>
          <w:sz w:val="24"/>
        </w:rPr>
        <w:t>在交易对方任职，或在能直接或间接控制该交易对方的法人单位或者该交易对方直接或间接控制的法人单位任职的(适用于股东为自然人的情形)；</w:t>
      </w:r>
    </w:p>
    <w:p w14:paraId="17A349C1">
      <w:pPr>
        <w:spacing w:line="500" w:lineRule="exact"/>
        <w:ind w:firstLine="480" w:firstLineChars="200"/>
        <w:rPr>
          <w:rFonts w:hint="eastAsia" w:ascii="宋体" w:hAnsi="宋体"/>
          <w:sz w:val="24"/>
        </w:rPr>
      </w:pPr>
      <w:r>
        <w:rPr>
          <w:rFonts w:hint="eastAsia" w:ascii="宋体" w:hAnsi="宋体"/>
          <w:sz w:val="24"/>
        </w:rPr>
        <w:t>（七）因与交易对方或者其关联人存在尚未履行完毕的股权转让协议或者其他协议而使其表决权受到限制和影响的；</w:t>
      </w:r>
    </w:p>
    <w:p w14:paraId="049C41AE">
      <w:pPr>
        <w:spacing w:line="500" w:lineRule="exact"/>
        <w:ind w:firstLine="480" w:firstLineChars="200"/>
        <w:rPr>
          <w:rFonts w:hint="eastAsia" w:ascii="宋体" w:hAnsi="宋体"/>
          <w:sz w:val="24"/>
        </w:rPr>
      </w:pPr>
      <w:r>
        <w:rPr>
          <w:rFonts w:hint="eastAsia" w:ascii="宋体" w:hAnsi="宋体"/>
          <w:sz w:val="24"/>
        </w:rPr>
        <w:t>（八）中国证监会或深圳证券交易所认定的可能造成公司对其利益倾斜的法人或自然人。</w:t>
      </w:r>
    </w:p>
    <w:p w14:paraId="15D6D471">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股东会可以就关联交易的判断聘请律师或注册会计师出具专业意见。</w:t>
      </w:r>
    </w:p>
    <w:p w14:paraId="64960380">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符合关联交易回避条件的股东应在大会就该事项表决前，明确表明回避；未表明回避的，董事会可以要求其回避，或单独或合并持有</w:t>
      </w:r>
      <w:r>
        <w:rPr>
          <w:rFonts w:hint="eastAsia"/>
          <w:sz w:val="24"/>
        </w:rPr>
        <w:t>5%以</w:t>
      </w:r>
      <w:r>
        <w:rPr>
          <w:rFonts w:hint="eastAsia" w:ascii="宋体" w:hAnsi="宋体"/>
          <w:sz w:val="24"/>
        </w:rPr>
        <w:t>上表决权的股东可以临时向大会提出要求其回避的议案，该议案的表决应在关联交易议题的表决前作出；被董事会要求回避的或决议要求回避的股东认为董事会要求或该决议违背《公司章程》及本办法规定的，可以在关联交易的表决之后，向股东会提出异议并获得合理解释，但不影响关联交易决议的有效性。</w:t>
      </w:r>
    </w:p>
    <w:p w14:paraId="28F1BBD7">
      <w:pPr>
        <w:numPr>
          <w:ilvl w:val="255"/>
          <w:numId w:val="0"/>
        </w:numPr>
        <w:tabs>
          <w:tab w:val="left" w:pos="0"/>
        </w:tabs>
        <w:spacing w:before="156" w:beforeLines="50" w:line="500" w:lineRule="exact"/>
        <w:ind w:firstLine="480" w:firstLineChars="200"/>
        <w:rPr>
          <w:rFonts w:hint="eastAsia" w:ascii="宋体" w:hAnsi="宋体"/>
          <w:sz w:val="24"/>
        </w:rPr>
      </w:pPr>
      <w:r>
        <w:rPr>
          <w:rFonts w:hint="eastAsia" w:ascii="宋体" w:hAnsi="宋体"/>
          <w:sz w:val="24"/>
        </w:rPr>
        <w:t>前款规定适用于授权他人出席股东会的股东。</w:t>
      </w:r>
    </w:p>
    <w:p w14:paraId="57E780CE">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属于董事长或总经理有权判断并实施的关联交易的审议，按照公司内部规章制度相关规定进行。</w:t>
      </w:r>
    </w:p>
    <w:p w14:paraId="46E88576">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违反本办法相关规定，有关董事及股东未予回避的，该关联交易决议无效，若该关联交易事实上已实施并经司法裁判、仲裁确认应当履行的，则有关董事及股东应对公司损失负责。</w:t>
      </w:r>
    </w:p>
    <w:p w14:paraId="57F4B53E">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公司在审议关联交易事项时，应当做到：</w:t>
      </w:r>
    </w:p>
    <w:p w14:paraId="02E40114">
      <w:pPr>
        <w:spacing w:line="500" w:lineRule="exact"/>
        <w:ind w:firstLine="480" w:firstLineChars="200"/>
        <w:rPr>
          <w:rFonts w:hint="eastAsia" w:ascii="宋体" w:hAnsi="宋体"/>
          <w:sz w:val="24"/>
        </w:rPr>
      </w:pPr>
      <w:r>
        <w:rPr>
          <w:rFonts w:hint="eastAsia" w:ascii="宋体" w:hAnsi="宋体"/>
          <w:sz w:val="24"/>
        </w:rPr>
        <w:t>（一）详细了解交易标的的真实状况，包括交易标的运营现状、盈利能力、是否存在抵押、冻结等权利瑕疵和诉讼、仲裁等法律纠纷；</w:t>
      </w:r>
    </w:p>
    <w:p w14:paraId="689F5514">
      <w:pPr>
        <w:spacing w:line="500" w:lineRule="exact"/>
        <w:ind w:firstLine="480" w:firstLineChars="200"/>
        <w:rPr>
          <w:rFonts w:hint="eastAsia" w:ascii="宋体" w:hAnsi="宋体"/>
          <w:sz w:val="24"/>
        </w:rPr>
      </w:pPr>
      <w:r>
        <w:rPr>
          <w:rFonts w:hint="eastAsia" w:ascii="宋体" w:hAnsi="宋体"/>
          <w:sz w:val="24"/>
        </w:rPr>
        <w:t>（二）详细了解交易对方的诚信纪录、资信状况、履约能力等情况，审慎选择交易对方；</w:t>
      </w:r>
    </w:p>
    <w:p w14:paraId="45C49547">
      <w:pPr>
        <w:spacing w:line="500" w:lineRule="exact"/>
        <w:ind w:firstLine="480" w:firstLineChars="200"/>
        <w:rPr>
          <w:rFonts w:hint="eastAsia" w:ascii="宋体" w:hAnsi="宋体"/>
          <w:sz w:val="24"/>
        </w:rPr>
      </w:pPr>
      <w:r>
        <w:rPr>
          <w:rFonts w:hint="eastAsia" w:ascii="宋体" w:hAnsi="宋体"/>
          <w:sz w:val="24"/>
        </w:rPr>
        <w:t>（三）根据充分的定价依据确定交易价格；</w:t>
      </w:r>
    </w:p>
    <w:p w14:paraId="3B8EB01A">
      <w:pPr>
        <w:spacing w:line="500" w:lineRule="exact"/>
        <w:ind w:firstLine="480" w:firstLineChars="200"/>
        <w:rPr>
          <w:rFonts w:hint="eastAsia" w:ascii="宋体" w:hAnsi="宋体"/>
          <w:sz w:val="24"/>
        </w:rPr>
      </w:pPr>
      <w:r>
        <w:rPr>
          <w:rFonts w:hint="eastAsia" w:ascii="宋体" w:hAnsi="宋体"/>
          <w:sz w:val="24"/>
        </w:rPr>
        <w:t>（四）遵循本办法的要求以及公司认为有必要时，聘请中介机构对交易标的进行审计或评估；</w:t>
      </w:r>
    </w:p>
    <w:p w14:paraId="4EEF1DDD">
      <w:pPr>
        <w:spacing w:line="500" w:lineRule="exact"/>
        <w:ind w:firstLine="480" w:firstLineChars="200"/>
        <w:rPr>
          <w:rFonts w:hint="eastAsia" w:ascii="宋体" w:hAnsi="宋体"/>
          <w:sz w:val="24"/>
        </w:rPr>
      </w:pPr>
      <w:r>
        <w:rPr>
          <w:rFonts w:hint="eastAsia" w:ascii="宋体" w:hAnsi="宋体"/>
          <w:sz w:val="24"/>
        </w:rPr>
        <w:t>公司不应对所涉交易标的状况不清、交易价格未确定、交易对方情况不明朗的关联交易事项进行审议并作出决定。</w:t>
      </w:r>
    </w:p>
    <w:p w14:paraId="6A1F33C0">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公司与关联方之间的交易应签订书面协议，明确交易双方的权利义务及法律责任。</w:t>
      </w:r>
    </w:p>
    <w:p w14:paraId="2A8549D1">
      <w:pPr>
        <w:spacing w:before="156" w:beforeLines="50" w:after="156" w:afterLines="50" w:line="500" w:lineRule="exact"/>
        <w:ind w:firstLine="482" w:firstLineChars="200"/>
        <w:jc w:val="center"/>
        <w:rPr>
          <w:rFonts w:hint="eastAsia" w:ascii="宋体" w:hAnsi="宋体"/>
          <w:b/>
          <w:sz w:val="24"/>
        </w:rPr>
      </w:pPr>
      <w:r>
        <w:rPr>
          <w:rFonts w:hint="eastAsia" w:ascii="宋体" w:hAnsi="宋体"/>
          <w:b/>
          <w:sz w:val="24"/>
        </w:rPr>
        <w:t>第三节  相关事项</w:t>
      </w:r>
    </w:p>
    <w:p w14:paraId="1E38094C">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董事会行使前述职权，应以勤勉尽责、公司利益至上的原则进行并充分听取独立董事对关联交易的公允性意见。</w:t>
      </w:r>
    </w:p>
    <w:p w14:paraId="023342AE">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董事会违反《公司章程》及本办法关于关联交易的规定，独立董事可以就此提议召开临时股东会予以讨论。</w:t>
      </w:r>
    </w:p>
    <w:p w14:paraId="68AC62E9">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对本办法中确立为董事长或总经理即可决定并实施的关联交易，需要在有效关联交易确立后的</w:t>
      </w:r>
      <w:r>
        <w:rPr>
          <w:rFonts w:hint="eastAsia"/>
          <w:sz w:val="24"/>
        </w:rPr>
        <w:t>3</w:t>
      </w:r>
      <w:r>
        <w:rPr>
          <w:rFonts w:hint="eastAsia" w:ascii="宋体" w:hAnsi="宋体"/>
          <w:sz w:val="24"/>
        </w:rPr>
        <w:t>日内报告董事会</w:t>
      </w:r>
      <w:r>
        <w:rPr>
          <w:rFonts w:hint="eastAsia" w:ascii="宋体" w:hAnsi="宋体"/>
          <w:sz w:val="24"/>
          <w:lang w:val="en-US" w:eastAsia="zh-CN"/>
        </w:rPr>
        <w:t>进行</w:t>
      </w:r>
      <w:bookmarkStart w:id="0" w:name="_GoBack"/>
      <w:bookmarkEnd w:id="0"/>
      <w:r>
        <w:rPr>
          <w:rFonts w:hint="eastAsia" w:ascii="宋体" w:hAnsi="宋体"/>
          <w:sz w:val="24"/>
        </w:rPr>
        <w:t>事后审查。</w:t>
      </w:r>
    </w:p>
    <w:p w14:paraId="0369FBFB">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总经理应将日常生产经营活动中，涉及董事会审议的可能的关联交易信息及资料充分披露给董事会，由董事会依据本办法审核。</w:t>
      </w:r>
    </w:p>
    <w:p w14:paraId="3B27ACB9">
      <w:pPr>
        <w:numPr>
          <w:ilvl w:val="255"/>
          <w:numId w:val="0"/>
        </w:numPr>
        <w:tabs>
          <w:tab w:val="left" w:pos="0"/>
        </w:tabs>
        <w:spacing w:before="156" w:beforeLines="50" w:line="500" w:lineRule="exact"/>
        <w:ind w:firstLine="480" w:firstLineChars="200"/>
        <w:rPr>
          <w:rFonts w:hint="eastAsia" w:ascii="宋体" w:hAnsi="宋体"/>
          <w:sz w:val="24"/>
        </w:rPr>
      </w:pPr>
      <w:r>
        <w:rPr>
          <w:rFonts w:hint="eastAsia" w:ascii="宋体" w:hAnsi="宋体"/>
          <w:sz w:val="24"/>
        </w:rPr>
        <w:t>总经理无正当理由拒不履行或懈怠履行前款规定报告义务的，根据公司实际遭受的不利影响，董事会可给予相应处分。</w:t>
      </w:r>
    </w:p>
    <w:p w14:paraId="71E3EECF">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董事及高级管理人员有义务关注公司是否存在被关联方挪用资金等侵占公司利益的问题。审计委员会应当督导内审部至少应每半年检查一次公司与董事、高级管理人员、控股股东、实际控制人及关联方之间的资金往来情况以及关联交易实施情况，了解公司是否存在被控股股东及其关联方占用、转移公司资金、资产及其他资源的情况。如发现异常情况，应当及时提请公司董事会采取相应措施。</w:t>
      </w:r>
    </w:p>
    <w:p w14:paraId="549D77C2">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公司发生因关联方占用或转移公司资金、资产或其他资源而给公司造成损失或可能造成损失的，公司董事会应及时向人民法院采取诉讼、财产保全等保护性措施避免或减少损失。</w:t>
      </w:r>
    </w:p>
    <w:p w14:paraId="17B1835B">
      <w:pPr>
        <w:spacing w:after="156" w:afterLines="50" w:line="500" w:lineRule="exact"/>
        <w:ind w:firstLine="482" w:firstLineChars="200"/>
        <w:jc w:val="center"/>
        <w:rPr>
          <w:rFonts w:hint="eastAsia" w:ascii="宋体" w:hAnsi="宋体" w:cs="宋体"/>
          <w:b/>
          <w:sz w:val="24"/>
        </w:rPr>
      </w:pPr>
      <w:r>
        <w:rPr>
          <w:rFonts w:hint="eastAsia" w:ascii="宋体" w:hAnsi="宋体" w:cs="宋体"/>
          <w:b/>
          <w:sz w:val="24"/>
        </w:rPr>
        <w:t>第</w:t>
      </w:r>
      <w:r>
        <w:rPr>
          <w:rFonts w:ascii="宋体" w:hAnsi="宋体" w:cs="宋体"/>
          <w:b/>
          <w:sz w:val="24"/>
        </w:rPr>
        <w:t>五</w:t>
      </w:r>
      <w:r>
        <w:rPr>
          <w:rFonts w:hint="eastAsia" w:ascii="宋体" w:hAnsi="宋体" w:cs="宋体"/>
          <w:b/>
          <w:sz w:val="24"/>
        </w:rPr>
        <w:t>章  关联交易的披露</w:t>
      </w:r>
    </w:p>
    <w:p w14:paraId="19CCFD9C">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公司应当依照《公司法》《证券法》《深圳证券交易所股票上市规则》等有关法律法规、规范性文件的规定，如实披露关联人、关联交易事项等相关信息。</w:t>
      </w:r>
    </w:p>
    <w:p w14:paraId="02EB0BFB">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公司披露关联交易事项时，应当向深圳证券交易所提交以下文件：</w:t>
      </w:r>
    </w:p>
    <w:p w14:paraId="21172421">
      <w:pPr>
        <w:numPr>
          <w:ilvl w:val="0"/>
          <w:numId w:val="3"/>
        </w:numPr>
        <w:spacing w:line="500" w:lineRule="exact"/>
        <w:ind w:firstLine="480" w:firstLineChars="200"/>
        <w:rPr>
          <w:rFonts w:hint="eastAsia" w:ascii="宋体" w:hAnsi="宋体"/>
          <w:sz w:val="24"/>
        </w:rPr>
      </w:pPr>
      <w:r>
        <w:rPr>
          <w:rFonts w:hint="eastAsia" w:ascii="宋体" w:hAnsi="宋体"/>
          <w:sz w:val="24"/>
        </w:rPr>
        <w:t>公告文稿；</w:t>
      </w:r>
    </w:p>
    <w:p w14:paraId="423524F1">
      <w:pPr>
        <w:numPr>
          <w:ilvl w:val="0"/>
          <w:numId w:val="3"/>
        </w:numPr>
        <w:spacing w:line="500" w:lineRule="exact"/>
        <w:ind w:firstLine="480" w:firstLineChars="200"/>
        <w:rPr>
          <w:rFonts w:hint="eastAsia" w:ascii="宋体" w:hAnsi="宋体"/>
          <w:sz w:val="24"/>
        </w:rPr>
      </w:pPr>
      <w:r>
        <w:rPr>
          <w:rFonts w:hint="eastAsia" w:ascii="宋体" w:hAnsi="宋体"/>
          <w:sz w:val="24"/>
        </w:rPr>
        <w:t>与交易有关的协议书或意向书；</w:t>
      </w:r>
    </w:p>
    <w:p w14:paraId="3EC84EAB">
      <w:pPr>
        <w:numPr>
          <w:ilvl w:val="0"/>
          <w:numId w:val="3"/>
        </w:numPr>
        <w:spacing w:line="500" w:lineRule="exact"/>
        <w:ind w:firstLine="480" w:firstLineChars="200"/>
        <w:rPr>
          <w:rFonts w:hint="eastAsia" w:ascii="宋体" w:hAnsi="宋体"/>
          <w:sz w:val="24"/>
        </w:rPr>
      </w:pPr>
      <w:r>
        <w:rPr>
          <w:rFonts w:hint="eastAsia" w:ascii="宋体" w:hAnsi="宋体"/>
          <w:sz w:val="24"/>
        </w:rPr>
        <w:t>董事会决议、独立董事意见及董事会决议公告文稿（如适用）；</w:t>
      </w:r>
    </w:p>
    <w:p w14:paraId="1841414F">
      <w:pPr>
        <w:numPr>
          <w:ilvl w:val="0"/>
          <w:numId w:val="3"/>
        </w:numPr>
        <w:spacing w:line="500" w:lineRule="exact"/>
        <w:ind w:firstLine="480" w:firstLineChars="200"/>
        <w:rPr>
          <w:rFonts w:hint="eastAsia" w:ascii="宋体" w:hAnsi="宋体"/>
          <w:sz w:val="24"/>
        </w:rPr>
      </w:pPr>
      <w:r>
        <w:rPr>
          <w:rFonts w:hint="eastAsia" w:ascii="宋体" w:hAnsi="宋体"/>
          <w:sz w:val="24"/>
        </w:rPr>
        <w:t>交易涉及的政府批文（如适用）；</w:t>
      </w:r>
    </w:p>
    <w:p w14:paraId="0EF01A63">
      <w:pPr>
        <w:numPr>
          <w:ilvl w:val="0"/>
          <w:numId w:val="3"/>
        </w:numPr>
        <w:spacing w:line="500" w:lineRule="exact"/>
        <w:ind w:firstLine="480" w:firstLineChars="200"/>
        <w:rPr>
          <w:rFonts w:hint="eastAsia" w:ascii="宋体" w:hAnsi="宋体"/>
          <w:sz w:val="24"/>
        </w:rPr>
      </w:pPr>
      <w:r>
        <w:rPr>
          <w:rFonts w:hint="eastAsia" w:ascii="宋体" w:hAnsi="宋体"/>
          <w:sz w:val="24"/>
        </w:rPr>
        <w:t>中介机构出具的专业报告（如适用）；</w:t>
      </w:r>
    </w:p>
    <w:p w14:paraId="7A4649FF">
      <w:pPr>
        <w:numPr>
          <w:ilvl w:val="0"/>
          <w:numId w:val="3"/>
        </w:numPr>
        <w:spacing w:line="500" w:lineRule="exact"/>
        <w:ind w:firstLine="480" w:firstLineChars="200"/>
        <w:rPr>
          <w:rFonts w:hint="eastAsia" w:ascii="宋体" w:hAnsi="宋体"/>
          <w:sz w:val="24"/>
        </w:rPr>
      </w:pPr>
      <w:r>
        <w:rPr>
          <w:rFonts w:hint="eastAsia" w:ascii="宋体" w:hAnsi="宋体"/>
          <w:sz w:val="24"/>
        </w:rPr>
        <w:t>独立董事事前认可该交易的书面文件（如适用）；</w:t>
      </w:r>
    </w:p>
    <w:p w14:paraId="42193E95">
      <w:pPr>
        <w:numPr>
          <w:ilvl w:val="0"/>
          <w:numId w:val="3"/>
        </w:numPr>
        <w:spacing w:line="500" w:lineRule="exact"/>
        <w:ind w:firstLine="480" w:firstLineChars="200"/>
        <w:rPr>
          <w:rFonts w:hint="eastAsia" w:ascii="宋体" w:hAnsi="宋体"/>
          <w:sz w:val="24"/>
        </w:rPr>
      </w:pPr>
      <w:r>
        <w:rPr>
          <w:rFonts w:hint="eastAsia" w:ascii="宋体" w:hAnsi="宋体"/>
          <w:sz w:val="24"/>
        </w:rPr>
        <w:t>深圳证券交易所要求提供的其他文件。</w:t>
      </w:r>
    </w:p>
    <w:p w14:paraId="319FB723">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公司披露的关联交易公告应当包括以下内容：</w:t>
      </w:r>
    </w:p>
    <w:p w14:paraId="21247B49">
      <w:pPr>
        <w:numPr>
          <w:ilvl w:val="0"/>
          <w:numId w:val="4"/>
        </w:numPr>
        <w:spacing w:line="500" w:lineRule="exact"/>
        <w:ind w:firstLine="480" w:firstLineChars="200"/>
        <w:rPr>
          <w:rFonts w:hint="eastAsia" w:ascii="宋体" w:hAnsi="宋体"/>
          <w:sz w:val="24"/>
        </w:rPr>
      </w:pPr>
      <w:r>
        <w:rPr>
          <w:rFonts w:hint="eastAsia" w:ascii="宋体" w:hAnsi="宋体"/>
          <w:sz w:val="24"/>
        </w:rPr>
        <w:t>交易概述及交易标的的基本情况；</w:t>
      </w:r>
    </w:p>
    <w:p w14:paraId="182D3176">
      <w:pPr>
        <w:numPr>
          <w:ilvl w:val="0"/>
          <w:numId w:val="4"/>
        </w:numPr>
        <w:spacing w:line="500" w:lineRule="exact"/>
        <w:ind w:firstLine="480" w:firstLineChars="200"/>
        <w:rPr>
          <w:rFonts w:hint="eastAsia" w:ascii="宋体" w:hAnsi="宋体"/>
          <w:sz w:val="24"/>
        </w:rPr>
      </w:pPr>
      <w:r>
        <w:rPr>
          <w:rFonts w:hint="eastAsia" w:ascii="宋体" w:hAnsi="宋体"/>
          <w:sz w:val="24"/>
        </w:rPr>
        <w:t>独立董事的事前认可情况（如适用）；</w:t>
      </w:r>
    </w:p>
    <w:p w14:paraId="38D83B7B">
      <w:pPr>
        <w:numPr>
          <w:ilvl w:val="0"/>
          <w:numId w:val="4"/>
        </w:numPr>
        <w:spacing w:line="500" w:lineRule="exact"/>
        <w:ind w:firstLine="480" w:firstLineChars="200"/>
        <w:rPr>
          <w:rFonts w:hint="eastAsia" w:ascii="宋体" w:hAnsi="宋体"/>
          <w:sz w:val="24"/>
        </w:rPr>
      </w:pPr>
      <w:r>
        <w:rPr>
          <w:rFonts w:hint="eastAsia" w:ascii="宋体" w:hAnsi="宋体"/>
          <w:sz w:val="24"/>
        </w:rPr>
        <w:t>董事会表决情况（如适用）；</w:t>
      </w:r>
    </w:p>
    <w:p w14:paraId="5475E548">
      <w:pPr>
        <w:numPr>
          <w:ilvl w:val="0"/>
          <w:numId w:val="4"/>
        </w:numPr>
        <w:spacing w:line="500" w:lineRule="exact"/>
        <w:ind w:firstLine="480" w:firstLineChars="200"/>
        <w:rPr>
          <w:rFonts w:hint="eastAsia" w:ascii="宋体" w:hAnsi="宋体"/>
          <w:sz w:val="24"/>
        </w:rPr>
      </w:pPr>
      <w:r>
        <w:rPr>
          <w:rFonts w:hint="eastAsia" w:ascii="宋体" w:hAnsi="宋体"/>
          <w:sz w:val="24"/>
        </w:rPr>
        <w:t>交易各方的关联关系说明和关联人基本情况；</w:t>
      </w:r>
    </w:p>
    <w:p w14:paraId="48D3341A">
      <w:pPr>
        <w:numPr>
          <w:ilvl w:val="0"/>
          <w:numId w:val="4"/>
        </w:numPr>
        <w:spacing w:line="500" w:lineRule="exact"/>
        <w:ind w:firstLine="480" w:firstLineChars="200"/>
        <w:rPr>
          <w:rFonts w:hint="eastAsia" w:ascii="宋体" w:hAnsi="宋体"/>
          <w:sz w:val="24"/>
        </w:rPr>
      </w:pPr>
      <w:r>
        <w:rPr>
          <w:rFonts w:hint="eastAsia" w:ascii="宋体" w:hAnsi="宋体"/>
          <w:sz w:val="24"/>
        </w:rPr>
        <w:t>交易的定价政策及定价依据，包括成交价格与交易标的账面值、评估值以及明确、公允的市场价格之间的关系，以及因交易标的特殊而需要说明的与定价有关的其他特定事项。若成交价格与账面值、评估值或市场价格差异较大的，应当说明原因。如交易有失公允的，还应当披露本次关联交易所产生的利益转移方向；</w:t>
      </w:r>
    </w:p>
    <w:p w14:paraId="7642AB9F">
      <w:pPr>
        <w:numPr>
          <w:ilvl w:val="0"/>
          <w:numId w:val="4"/>
        </w:numPr>
        <w:spacing w:line="500" w:lineRule="exact"/>
        <w:ind w:firstLine="480" w:firstLineChars="200"/>
        <w:rPr>
          <w:rFonts w:hint="eastAsia" w:ascii="宋体" w:hAnsi="宋体"/>
          <w:sz w:val="24"/>
        </w:rPr>
      </w:pPr>
      <w:r>
        <w:rPr>
          <w:rFonts w:hint="eastAsia" w:ascii="宋体" w:hAnsi="宋体"/>
          <w:sz w:val="24"/>
        </w:rPr>
        <w:t>交易协议的主要内容，包括交易价格、交易结算方式、关联人在交易中所占权益的性质和比重，协议生效条件、生效时间、履行期限等；</w:t>
      </w:r>
    </w:p>
    <w:p w14:paraId="2404724C">
      <w:pPr>
        <w:numPr>
          <w:ilvl w:val="0"/>
          <w:numId w:val="4"/>
        </w:numPr>
        <w:spacing w:line="500" w:lineRule="exact"/>
        <w:ind w:firstLine="480" w:firstLineChars="200"/>
        <w:rPr>
          <w:rFonts w:hint="eastAsia" w:ascii="宋体" w:hAnsi="宋体"/>
          <w:sz w:val="24"/>
        </w:rPr>
      </w:pPr>
      <w:r>
        <w:rPr>
          <w:rFonts w:hint="eastAsia" w:ascii="宋体" w:hAnsi="宋体"/>
          <w:sz w:val="24"/>
        </w:rPr>
        <w:t>交易目的及对公司的影响，包括进行此次关联交易的必要性和真实意图，对本期和未来财务状况和经营成果的影响等；</w:t>
      </w:r>
    </w:p>
    <w:p w14:paraId="5BC23562">
      <w:pPr>
        <w:numPr>
          <w:ilvl w:val="0"/>
          <w:numId w:val="4"/>
        </w:numPr>
        <w:spacing w:line="500" w:lineRule="exact"/>
        <w:ind w:firstLine="480" w:firstLineChars="200"/>
        <w:rPr>
          <w:rFonts w:hint="eastAsia" w:ascii="宋体" w:hAnsi="宋体"/>
          <w:sz w:val="24"/>
        </w:rPr>
      </w:pPr>
      <w:r>
        <w:rPr>
          <w:rFonts w:hint="eastAsia" w:ascii="宋体" w:hAnsi="宋体"/>
          <w:sz w:val="24"/>
        </w:rPr>
        <w:t>当年年初至披露日与该关联人累计已发生的各类关联交易的总金额；</w:t>
      </w:r>
    </w:p>
    <w:p w14:paraId="793E2804">
      <w:pPr>
        <w:numPr>
          <w:ilvl w:val="0"/>
          <w:numId w:val="4"/>
        </w:numPr>
        <w:spacing w:line="500" w:lineRule="exact"/>
        <w:ind w:firstLine="480" w:firstLineChars="200"/>
        <w:rPr>
          <w:rFonts w:hint="eastAsia" w:ascii="宋体" w:hAnsi="宋体"/>
          <w:sz w:val="24"/>
        </w:rPr>
      </w:pPr>
      <w:r>
        <w:rPr>
          <w:rFonts w:hint="eastAsia" w:ascii="宋体" w:hAnsi="宋体"/>
          <w:sz w:val="24"/>
        </w:rPr>
        <w:t>中国证监会和深圳证券交易所要求的有助于说明交易实质的其他内容。</w:t>
      </w:r>
    </w:p>
    <w:p w14:paraId="09441EC1">
      <w:pPr>
        <w:spacing w:after="156" w:afterLines="50" w:line="500" w:lineRule="exact"/>
        <w:ind w:firstLine="482" w:firstLineChars="200"/>
        <w:jc w:val="center"/>
        <w:rPr>
          <w:rFonts w:hint="eastAsia" w:ascii="宋体" w:hAnsi="宋体" w:cs="宋体"/>
          <w:b/>
          <w:sz w:val="24"/>
        </w:rPr>
      </w:pPr>
      <w:r>
        <w:rPr>
          <w:rFonts w:hint="eastAsia" w:ascii="宋体" w:hAnsi="宋体" w:cs="宋体"/>
          <w:b/>
          <w:sz w:val="24"/>
        </w:rPr>
        <w:t>第六章  附则</w:t>
      </w:r>
    </w:p>
    <w:p w14:paraId="2880EBC8">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w:t>
      </w:r>
      <w:r>
        <w:rPr>
          <w:rFonts w:ascii="宋体" w:hAnsi="宋体"/>
          <w:sz w:val="24"/>
        </w:rPr>
        <w:t>本</w:t>
      </w:r>
      <w:r>
        <w:rPr>
          <w:rFonts w:hint="eastAsia" w:ascii="宋体" w:hAnsi="宋体"/>
          <w:sz w:val="24"/>
        </w:rPr>
        <w:t>办法</w:t>
      </w:r>
      <w:r>
        <w:rPr>
          <w:rFonts w:ascii="宋体" w:hAnsi="宋体"/>
          <w:sz w:val="24"/>
        </w:rPr>
        <w:t>所称</w:t>
      </w:r>
      <w:r>
        <w:rPr>
          <w:rFonts w:hint="eastAsia" w:ascii="宋体" w:hAnsi="宋体"/>
          <w:sz w:val="24"/>
        </w:rPr>
        <w:t>“</w:t>
      </w:r>
      <w:r>
        <w:rPr>
          <w:rFonts w:ascii="宋体" w:hAnsi="宋体"/>
          <w:sz w:val="24"/>
        </w:rPr>
        <w:t>以上</w:t>
      </w:r>
      <w:r>
        <w:rPr>
          <w:rFonts w:hint="eastAsia" w:ascii="宋体" w:hAnsi="宋体"/>
          <w:sz w:val="24"/>
        </w:rPr>
        <w:t>”、“以内”</w:t>
      </w:r>
      <w:r>
        <w:rPr>
          <w:rFonts w:ascii="宋体" w:hAnsi="宋体"/>
          <w:sz w:val="24"/>
        </w:rPr>
        <w:t>含本数</w:t>
      </w:r>
      <w:r>
        <w:rPr>
          <w:rFonts w:hint="eastAsia" w:ascii="宋体" w:hAnsi="宋体"/>
          <w:sz w:val="24"/>
        </w:rPr>
        <w:t>；“以下”、“不足”、“高于”，</w:t>
      </w:r>
      <w:r>
        <w:rPr>
          <w:rFonts w:ascii="宋体" w:hAnsi="宋体"/>
          <w:sz w:val="24"/>
        </w:rPr>
        <w:t>不含本数。</w:t>
      </w:r>
    </w:p>
    <w:p w14:paraId="4944636C">
      <w:pPr>
        <w:numPr>
          <w:ilvl w:val="0"/>
          <w:numId w:val="1"/>
        </w:numPr>
        <w:spacing w:before="156" w:beforeLines="50" w:line="500" w:lineRule="exact"/>
        <w:ind w:firstLine="480" w:firstLineChars="200"/>
        <w:rPr>
          <w:rFonts w:hint="eastAsia" w:ascii="宋体" w:hAnsi="宋体"/>
          <w:sz w:val="24"/>
        </w:rPr>
      </w:pPr>
      <w:r>
        <w:rPr>
          <w:rFonts w:hint="eastAsia" w:ascii="宋体" w:hAnsi="宋体"/>
          <w:sz w:val="24"/>
        </w:rPr>
        <w:t xml:space="preserve"> 本办法未尽事宜，按国家有关法律法规、规范性文件及《公司章程》等有关规定执行。</w:t>
      </w:r>
    </w:p>
    <w:p w14:paraId="1721FD12">
      <w:pPr>
        <w:numPr>
          <w:ilvl w:val="0"/>
          <w:numId w:val="1"/>
        </w:numPr>
        <w:spacing w:before="156" w:beforeLines="50" w:line="500" w:lineRule="exact"/>
        <w:ind w:firstLine="480" w:firstLineChars="200"/>
        <w:jc w:val="left"/>
        <w:rPr>
          <w:rFonts w:hint="eastAsia" w:ascii="宋体" w:hAnsi="宋体"/>
          <w:sz w:val="24"/>
        </w:rPr>
      </w:pPr>
      <w:r>
        <w:rPr>
          <w:rFonts w:hint="eastAsia" w:ascii="宋体" w:hAnsi="宋体"/>
          <w:sz w:val="24"/>
        </w:rPr>
        <w:t xml:space="preserve"> 本办法由董事会制定，经股东会审议通过后生效。</w:t>
      </w:r>
    </w:p>
    <w:sectPr>
      <w:footerReference r:id="rId3" w:type="default"/>
      <w:footerReference r:id="rId4" w:type="even"/>
      <w:pgSz w:w="11906" w:h="16838"/>
      <w:pgMar w:top="1440" w:right="1800" w:bottom="111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09B0F">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7</w:t>
    </w:r>
    <w:r>
      <w:rPr>
        <w:rStyle w:val="10"/>
      </w:rPr>
      <w:fldChar w:fldCharType="end"/>
    </w:r>
  </w:p>
  <w:p w14:paraId="7EE0701E">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82C79">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14:paraId="1594064F">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02195F"/>
    <w:multiLevelType w:val="singleLevel"/>
    <w:tmpl w:val="9602195F"/>
    <w:lvl w:ilvl="0" w:tentative="0">
      <w:start w:val="1"/>
      <w:numFmt w:val="chineseCounting"/>
      <w:suff w:val="nothing"/>
      <w:lvlText w:val="（%1）"/>
      <w:lvlJc w:val="left"/>
      <w:rPr>
        <w:rFonts w:hint="eastAsia"/>
      </w:rPr>
    </w:lvl>
  </w:abstractNum>
  <w:abstractNum w:abstractNumId="1">
    <w:nsid w:val="CBAAE25E"/>
    <w:multiLevelType w:val="singleLevel"/>
    <w:tmpl w:val="CBAAE25E"/>
    <w:lvl w:ilvl="0" w:tentative="0">
      <w:start w:val="1"/>
      <w:numFmt w:val="chineseCounting"/>
      <w:suff w:val="nothing"/>
      <w:lvlText w:val="（%1）"/>
      <w:lvlJc w:val="left"/>
      <w:rPr>
        <w:rFonts w:hint="eastAsia"/>
      </w:rPr>
    </w:lvl>
  </w:abstractNum>
  <w:abstractNum w:abstractNumId="2">
    <w:nsid w:val="19309E1C"/>
    <w:multiLevelType w:val="singleLevel"/>
    <w:tmpl w:val="19309E1C"/>
    <w:lvl w:ilvl="0" w:tentative="0">
      <w:start w:val="1"/>
      <w:numFmt w:val="chineseCounting"/>
      <w:suff w:val="nothing"/>
      <w:lvlText w:val="（%1）"/>
      <w:lvlJc w:val="left"/>
      <w:pPr>
        <w:ind w:left="0" w:firstLine="420"/>
      </w:pPr>
      <w:rPr>
        <w:rFonts w:hint="eastAsia"/>
      </w:rPr>
    </w:lvl>
  </w:abstractNum>
  <w:abstractNum w:abstractNumId="3">
    <w:nsid w:val="7D9A53EA"/>
    <w:multiLevelType w:val="singleLevel"/>
    <w:tmpl w:val="7D9A53EA"/>
    <w:lvl w:ilvl="0" w:tentative="0">
      <w:start w:val="1"/>
      <w:numFmt w:val="chineseCounting"/>
      <w:suff w:val="space"/>
      <w:lvlText w:val="第%1条"/>
      <w:lvlJc w:val="left"/>
      <w:pPr>
        <w:tabs>
          <w:tab w:val="left" w:pos="0"/>
        </w:tabs>
      </w:pPr>
      <w:rPr>
        <w:rFonts w:hint="eastAsia"/>
        <w:b/>
        <w:bCs/>
        <w:strike w:val="0"/>
        <w:dstrike w:val="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WRlOTk1ZDM4MjkzZjgxMjZiN2M3ZjNmNDQ5NGIzZGYifQ=="/>
  </w:docVars>
  <w:rsids>
    <w:rsidRoot w:val="00752BB9"/>
    <w:rsid w:val="00003AFC"/>
    <w:rsid w:val="00004DD3"/>
    <w:rsid w:val="000166D7"/>
    <w:rsid w:val="0004148A"/>
    <w:rsid w:val="00066595"/>
    <w:rsid w:val="0007444A"/>
    <w:rsid w:val="000F37FE"/>
    <w:rsid w:val="00123FC9"/>
    <w:rsid w:val="001252C0"/>
    <w:rsid w:val="001621F7"/>
    <w:rsid w:val="00187BF1"/>
    <w:rsid w:val="00197EE4"/>
    <w:rsid w:val="001A42CF"/>
    <w:rsid w:val="001A5574"/>
    <w:rsid w:val="001B7C1E"/>
    <w:rsid w:val="001D2DE6"/>
    <w:rsid w:val="001F1A43"/>
    <w:rsid w:val="001F1F50"/>
    <w:rsid w:val="00205025"/>
    <w:rsid w:val="00207838"/>
    <w:rsid w:val="00280543"/>
    <w:rsid w:val="00283C40"/>
    <w:rsid w:val="00296E1F"/>
    <w:rsid w:val="002A7B33"/>
    <w:rsid w:val="002F4628"/>
    <w:rsid w:val="002F66B6"/>
    <w:rsid w:val="002F7429"/>
    <w:rsid w:val="0031131F"/>
    <w:rsid w:val="00314DF0"/>
    <w:rsid w:val="00324650"/>
    <w:rsid w:val="00324ED6"/>
    <w:rsid w:val="003265F5"/>
    <w:rsid w:val="00333E0E"/>
    <w:rsid w:val="003519DE"/>
    <w:rsid w:val="003531A4"/>
    <w:rsid w:val="00353F2F"/>
    <w:rsid w:val="0035753F"/>
    <w:rsid w:val="00371AFA"/>
    <w:rsid w:val="00386961"/>
    <w:rsid w:val="003C1491"/>
    <w:rsid w:val="003E3B0C"/>
    <w:rsid w:val="004101E1"/>
    <w:rsid w:val="004229C8"/>
    <w:rsid w:val="00424783"/>
    <w:rsid w:val="004450A7"/>
    <w:rsid w:val="00445BED"/>
    <w:rsid w:val="00446D40"/>
    <w:rsid w:val="00447FDD"/>
    <w:rsid w:val="00463A15"/>
    <w:rsid w:val="00481447"/>
    <w:rsid w:val="004847EC"/>
    <w:rsid w:val="0048740D"/>
    <w:rsid w:val="004A06EC"/>
    <w:rsid w:val="004B47A0"/>
    <w:rsid w:val="004C5194"/>
    <w:rsid w:val="005224D8"/>
    <w:rsid w:val="00524EEB"/>
    <w:rsid w:val="00581869"/>
    <w:rsid w:val="00583247"/>
    <w:rsid w:val="005A3FB7"/>
    <w:rsid w:val="005F1F79"/>
    <w:rsid w:val="006006E3"/>
    <w:rsid w:val="00605276"/>
    <w:rsid w:val="00605EF3"/>
    <w:rsid w:val="00645945"/>
    <w:rsid w:val="006507FB"/>
    <w:rsid w:val="00660D4B"/>
    <w:rsid w:val="00675E95"/>
    <w:rsid w:val="00690363"/>
    <w:rsid w:val="00690914"/>
    <w:rsid w:val="00694723"/>
    <w:rsid w:val="00694BC4"/>
    <w:rsid w:val="006A5AA0"/>
    <w:rsid w:val="006C1440"/>
    <w:rsid w:val="006C6650"/>
    <w:rsid w:val="006E0B32"/>
    <w:rsid w:val="006E2D21"/>
    <w:rsid w:val="007069B2"/>
    <w:rsid w:val="00752BB9"/>
    <w:rsid w:val="007856CB"/>
    <w:rsid w:val="00847C5F"/>
    <w:rsid w:val="00870615"/>
    <w:rsid w:val="00875DC6"/>
    <w:rsid w:val="008A4351"/>
    <w:rsid w:val="008A4606"/>
    <w:rsid w:val="008C449B"/>
    <w:rsid w:val="008D132E"/>
    <w:rsid w:val="00943517"/>
    <w:rsid w:val="009775C1"/>
    <w:rsid w:val="0098468D"/>
    <w:rsid w:val="00992CF1"/>
    <w:rsid w:val="009972F3"/>
    <w:rsid w:val="009B2366"/>
    <w:rsid w:val="009C0204"/>
    <w:rsid w:val="009E02F2"/>
    <w:rsid w:val="00A04DF3"/>
    <w:rsid w:val="00A07D7D"/>
    <w:rsid w:val="00A1079C"/>
    <w:rsid w:val="00A31E2F"/>
    <w:rsid w:val="00A34AC8"/>
    <w:rsid w:val="00A350B7"/>
    <w:rsid w:val="00A70F25"/>
    <w:rsid w:val="00A81824"/>
    <w:rsid w:val="00AA1644"/>
    <w:rsid w:val="00AA4189"/>
    <w:rsid w:val="00AA449B"/>
    <w:rsid w:val="00AD4A1E"/>
    <w:rsid w:val="00B16F1E"/>
    <w:rsid w:val="00B2575F"/>
    <w:rsid w:val="00B41D51"/>
    <w:rsid w:val="00B50889"/>
    <w:rsid w:val="00B55DB1"/>
    <w:rsid w:val="00B641BB"/>
    <w:rsid w:val="00B67A7B"/>
    <w:rsid w:val="00B92D20"/>
    <w:rsid w:val="00BB1C06"/>
    <w:rsid w:val="00BC3A25"/>
    <w:rsid w:val="00C00464"/>
    <w:rsid w:val="00C1305F"/>
    <w:rsid w:val="00C462B9"/>
    <w:rsid w:val="00C831B3"/>
    <w:rsid w:val="00C96F06"/>
    <w:rsid w:val="00CA0537"/>
    <w:rsid w:val="00CC25DF"/>
    <w:rsid w:val="00CE37C4"/>
    <w:rsid w:val="00D32E16"/>
    <w:rsid w:val="00D3598F"/>
    <w:rsid w:val="00D41DAA"/>
    <w:rsid w:val="00D45260"/>
    <w:rsid w:val="00DB1238"/>
    <w:rsid w:val="00DB18F2"/>
    <w:rsid w:val="00DB65A5"/>
    <w:rsid w:val="00DD056B"/>
    <w:rsid w:val="00DE300B"/>
    <w:rsid w:val="00E07AD4"/>
    <w:rsid w:val="00E11A84"/>
    <w:rsid w:val="00E12E06"/>
    <w:rsid w:val="00E172FC"/>
    <w:rsid w:val="00E23B07"/>
    <w:rsid w:val="00E34C7F"/>
    <w:rsid w:val="00E43059"/>
    <w:rsid w:val="00E6214A"/>
    <w:rsid w:val="00E70BAB"/>
    <w:rsid w:val="00E71C8E"/>
    <w:rsid w:val="00E87953"/>
    <w:rsid w:val="00E90012"/>
    <w:rsid w:val="00E9359B"/>
    <w:rsid w:val="00EA7601"/>
    <w:rsid w:val="00ED680E"/>
    <w:rsid w:val="00F03CD6"/>
    <w:rsid w:val="00F072FE"/>
    <w:rsid w:val="00F3207B"/>
    <w:rsid w:val="00F46B4F"/>
    <w:rsid w:val="00F506F1"/>
    <w:rsid w:val="00FB3567"/>
    <w:rsid w:val="00FC2A64"/>
    <w:rsid w:val="00FC6854"/>
    <w:rsid w:val="00FD60AD"/>
    <w:rsid w:val="00FE185D"/>
    <w:rsid w:val="00FE1C1A"/>
    <w:rsid w:val="00FE3265"/>
    <w:rsid w:val="075E66BA"/>
    <w:rsid w:val="0B942124"/>
    <w:rsid w:val="191A7F03"/>
    <w:rsid w:val="1927219A"/>
    <w:rsid w:val="19E77A9C"/>
    <w:rsid w:val="1C2A5D1A"/>
    <w:rsid w:val="20134018"/>
    <w:rsid w:val="226E550B"/>
    <w:rsid w:val="23E7562D"/>
    <w:rsid w:val="24F86524"/>
    <w:rsid w:val="261D7A52"/>
    <w:rsid w:val="264F21CB"/>
    <w:rsid w:val="27B318D8"/>
    <w:rsid w:val="2DF47B5C"/>
    <w:rsid w:val="30DF110A"/>
    <w:rsid w:val="31B45EC9"/>
    <w:rsid w:val="34F11716"/>
    <w:rsid w:val="44BA2980"/>
    <w:rsid w:val="4C1C493F"/>
    <w:rsid w:val="4FBC392B"/>
    <w:rsid w:val="524E1D8A"/>
    <w:rsid w:val="5356035F"/>
    <w:rsid w:val="580926D8"/>
    <w:rsid w:val="58B957DE"/>
    <w:rsid w:val="592E5BE2"/>
    <w:rsid w:val="5EF648F4"/>
    <w:rsid w:val="6F837ED9"/>
    <w:rsid w:val="753A1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paragraph" w:styleId="7">
    <w:name w:val="annotation subject"/>
    <w:basedOn w:val="2"/>
    <w:next w:val="2"/>
    <w:semiHidden/>
    <w:qFormat/>
    <w:uiPriority w:val="0"/>
    <w:rPr>
      <w:b/>
      <w:bCs/>
    </w:rPr>
  </w:style>
  <w:style w:type="character" w:styleId="10">
    <w:name w:val="page number"/>
    <w:qFormat/>
    <w:uiPriority w:val="0"/>
  </w:style>
  <w:style w:type="character" w:styleId="11">
    <w:name w:val="annotation reference"/>
    <w:semiHidden/>
    <w:qFormat/>
    <w:uiPriority w:val="0"/>
    <w:rPr>
      <w:sz w:val="21"/>
      <w:szCs w:val="21"/>
    </w:rPr>
  </w:style>
  <w:style w:type="character" w:customStyle="1" w:styleId="12">
    <w:name w:val="页眉 字符"/>
    <w:link w:val="5"/>
    <w:qFormat/>
    <w:uiPriority w:val="0"/>
    <w:rPr>
      <w:kern w:val="2"/>
      <w:sz w:val="18"/>
      <w:szCs w:val="18"/>
    </w:rPr>
  </w:style>
  <w:style w:type="paragraph" w:customStyle="1" w:styleId="13">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14">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国浩律师集团（广州）事务所</Company>
  <Pages>11</Pages>
  <Words>6404</Words>
  <Characters>6424</Characters>
  <Lines>47</Lines>
  <Paragraphs>13</Paragraphs>
  <TotalTime>84</TotalTime>
  <ScaleCrop>false</ScaleCrop>
  <LinksUpToDate>false</LinksUpToDate>
  <CharactersWithSpaces>6498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2008-12-28T02:53:00Z</dcterms:created>
  <dc:creator>wzh</dc:creator>
  <cp:lastModifiedBy>李群</cp:lastModifiedBy>
  <cp:lastPrinted>2025-05-28T03:45:00Z</cp:lastPrinted>
  <dcterms:modified xsi:type="dcterms:W3CDTF">2025-06-09T01:35:40Z</dcterms:modified>
  <dc:title>冠昊生物</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DE1381957A6A4625949B2B817D018A09_13</vt:lpwstr>
  </property>
  <property fmtid="{D5CDD505-2E9C-101B-9397-08002B2CF9AE}" pid="4" name="KSOTemplateDocerSaveRecord">
    <vt:lpwstr>eyJoZGlkIjoiYWRlOTk1ZDM4MjkzZjgxMjZiN2M3ZjNmNDQ5NGIzZGYiLCJ1c2VySWQiOiIzNDI3ODI2OTEifQ==</vt:lpwstr>
  </property>
</Properties>
</file>