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875459">
      <w:pPr>
        <w:autoSpaceDE w:val="0"/>
        <w:autoSpaceDN w:val="0"/>
        <w:adjustRightInd w:val="0"/>
        <w:spacing w:before="312" w:beforeLines="100" w:line="500" w:lineRule="exact"/>
        <w:jc w:val="center"/>
        <w:rPr>
          <w:rFonts w:hint="eastAsia" w:ascii="黑体" w:eastAsia="黑体" w:cs="黑体"/>
          <w:color w:val="000000"/>
          <w:kern w:val="0"/>
          <w:sz w:val="30"/>
          <w:szCs w:val="30"/>
        </w:rPr>
      </w:pPr>
      <w:r>
        <w:rPr>
          <w:rFonts w:hint="eastAsia" w:ascii="黑体" w:eastAsia="黑体" w:cs="黑体"/>
          <w:color w:val="000000"/>
          <w:kern w:val="0"/>
          <w:sz w:val="30"/>
          <w:szCs w:val="30"/>
        </w:rPr>
        <w:t>冠昊生物科技股份有限公司</w:t>
      </w:r>
    </w:p>
    <w:p w14:paraId="50B62059">
      <w:pPr>
        <w:autoSpaceDE w:val="0"/>
        <w:autoSpaceDN w:val="0"/>
        <w:adjustRightInd w:val="0"/>
        <w:spacing w:line="500" w:lineRule="exact"/>
        <w:jc w:val="center"/>
        <w:rPr>
          <w:rFonts w:hint="eastAsia" w:ascii="宋体" w:cs="宋体"/>
          <w:color w:val="000000"/>
          <w:kern w:val="0"/>
          <w:sz w:val="22"/>
        </w:rPr>
      </w:pPr>
      <w:r>
        <w:rPr>
          <w:rFonts w:hint="eastAsia" w:ascii="黑体" w:eastAsia="黑体" w:cs="黑体"/>
          <w:color w:val="000000"/>
          <w:kern w:val="0"/>
          <w:sz w:val="30"/>
          <w:szCs w:val="30"/>
        </w:rPr>
        <w:t>对外投资管理制度</w:t>
      </w:r>
    </w:p>
    <w:p w14:paraId="53100FF3">
      <w:pPr>
        <w:spacing w:before="156" w:beforeLines="50" w:line="360" w:lineRule="auto"/>
        <w:jc w:val="center"/>
        <w:rPr>
          <w:rFonts w:hint="eastAsia" w:ascii="宋体" w:hAnsi="宋体" w:eastAsia="宋体" w:cs="宋体"/>
          <w:b/>
          <w:bCs w:val="0"/>
          <w:sz w:val="24"/>
          <w:szCs w:val="24"/>
        </w:rPr>
      </w:pPr>
      <w:r>
        <w:rPr>
          <w:rFonts w:hint="eastAsia" w:ascii="宋体" w:hAnsi="宋体" w:eastAsia="宋体" w:cs="宋体"/>
          <w:b/>
          <w:bCs w:val="0"/>
          <w:sz w:val="24"/>
          <w:szCs w:val="24"/>
        </w:rPr>
        <w:t>第一章 总则</w:t>
      </w:r>
    </w:p>
    <w:p w14:paraId="619E74F2">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ascii="宋体" w:hAnsi="宋体"/>
          <w:sz w:val="24"/>
          <w:szCs w:val="24"/>
        </w:rPr>
      </w:pPr>
      <w:r>
        <w:rPr>
          <w:rFonts w:hint="eastAsia" w:ascii="宋体" w:hAnsi="宋体"/>
          <w:sz w:val="24"/>
          <w:szCs w:val="24"/>
        </w:rPr>
        <w:t xml:space="preserve"> 为</w:t>
      </w:r>
      <w:r>
        <w:rPr>
          <w:rFonts w:hint="eastAsia" w:ascii="宋体" w:hAnsi="宋体"/>
          <w:sz w:val="24"/>
          <w:szCs w:val="24"/>
          <w:lang w:val="en-US" w:eastAsia="zh-CN"/>
        </w:rPr>
        <w:t>进一步</w:t>
      </w:r>
      <w:r>
        <w:rPr>
          <w:rFonts w:hint="eastAsia" w:ascii="宋体" w:hAnsi="宋体"/>
          <w:sz w:val="24"/>
          <w:szCs w:val="24"/>
        </w:rPr>
        <w:t>规范冠昊生物科技股份有限公司(以下简称“公司”)的对外投资行为，加强公司对外投资管理，防范对外投资风险，维护公司</w:t>
      </w:r>
      <w:bookmarkStart w:id="0" w:name="_GoBack"/>
      <w:bookmarkEnd w:id="0"/>
      <w:r>
        <w:rPr>
          <w:rFonts w:hint="eastAsia" w:ascii="宋体" w:hAnsi="宋体"/>
          <w:sz w:val="24"/>
          <w:szCs w:val="24"/>
        </w:rPr>
        <w:t>和投资者利益，</w:t>
      </w:r>
      <w:r>
        <w:rPr>
          <w:rFonts w:hint="eastAsia" w:ascii="宋体" w:hAnsi="宋体"/>
          <w:sz w:val="24"/>
          <w:szCs w:val="24"/>
          <w:lang w:val="en-US" w:eastAsia="zh-CN"/>
        </w:rPr>
        <w:t>根据</w:t>
      </w:r>
      <w:r>
        <w:rPr>
          <w:rFonts w:hint="eastAsia" w:ascii="宋体" w:hAnsi="宋体"/>
          <w:sz w:val="24"/>
          <w:szCs w:val="24"/>
        </w:rPr>
        <w:t>《公司法》《证券法》《深圳证券交易所创业板股票上市规则》《深圳证券交易所上市公司自律监管指引第</w:t>
      </w:r>
      <w:r>
        <w:rPr>
          <w:rFonts w:hint="default" w:ascii="Times New Roman" w:hAnsi="Times New Roman"/>
          <w:sz w:val="24"/>
          <w:szCs w:val="24"/>
        </w:rPr>
        <w:t>2</w:t>
      </w:r>
      <w:r>
        <w:rPr>
          <w:rFonts w:hint="eastAsia" w:ascii="宋体" w:hAnsi="宋体"/>
          <w:sz w:val="24"/>
          <w:szCs w:val="24"/>
        </w:rPr>
        <w:t>号——创业板上市公司规范运作》等法律法规、规范性文件</w:t>
      </w:r>
      <w:r>
        <w:rPr>
          <w:rFonts w:hint="eastAsia" w:ascii="宋体" w:hAnsi="宋体"/>
          <w:sz w:val="24"/>
          <w:szCs w:val="24"/>
          <w:lang w:val="en-US" w:eastAsia="zh-CN"/>
        </w:rPr>
        <w:t>和</w:t>
      </w:r>
      <w:r>
        <w:rPr>
          <w:rFonts w:hint="eastAsia" w:ascii="宋体" w:hAnsi="宋体"/>
          <w:sz w:val="24"/>
          <w:szCs w:val="24"/>
        </w:rPr>
        <w:t>《公司章程》</w:t>
      </w:r>
      <w:r>
        <w:rPr>
          <w:rFonts w:hint="eastAsia" w:ascii="宋体" w:hAnsi="宋体"/>
          <w:sz w:val="24"/>
          <w:szCs w:val="24"/>
          <w:lang w:val="en-US" w:eastAsia="zh-CN"/>
        </w:rPr>
        <w:t>等有关规定，结合</w:t>
      </w:r>
      <w:r>
        <w:rPr>
          <w:rFonts w:hint="eastAsia" w:ascii="宋体" w:hAnsi="宋体"/>
          <w:sz w:val="24"/>
          <w:szCs w:val="24"/>
        </w:rPr>
        <w:t>公司实际，制定本制度。</w:t>
      </w:r>
    </w:p>
    <w:p w14:paraId="6E953A21">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本制度所称对外投资</w:t>
      </w:r>
      <w:r>
        <w:rPr>
          <w:rFonts w:hint="eastAsia" w:ascii="宋体" w:hAnsi="宋体"/>
          <w:sz w:val="24"/>
          <w:szCs w:val="24"/>
          <w:lang w:eastAsia="zh-CN"/>
        </w:rPr>
        <w:t>，</w:t>
      </w:r>
      <w:r>
        <w:rPr>
          <w:rFonts w:hint="eastAsia" w:ascii="宋体" w:hAnsi="宋体"/>
          <w:sz w:val="24"/>
          <w:szCs w:val="24"/>
        </w:rPr>
        <w:t>是指公司为获取未来收益而将一定数量的货币资金、股权</w:t>
      </w:r>
      <w:r>
        <w:rPr>
          <w:rFonts w:hint="eastAsia" w:ascii="宋体" w:hAnsi="宋体"/>
          <w:sz w:val="24"/>
          <w:szCs w:val="24"/>
          <w:lang w:val="en-US" w:eastAsia="zh-CN"/>
        </w:rPr>
        <w:t>或者</w:t>
      </w:r>
      <w:r>
        <w:rPr>
          <w:rFonts w:hint="eastAsia" w:ascii="宋体" w:hAnsi="宋体"/>
          <w:sz w:val="24"/>
          <w:szCs w:val="24"/>
        </w:rPr>
        <w:t>经评估后的实物或无形资产作价出资，对外进行各种形式的投资活动。</w:t>
      </w:r>
    </w:p>
    <w:p w14:paraId="42AFD841">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按照投资期限的长短，公司对外投资分为短期投资和长期投资。</w:t>
      </w:r>
    </w:p>
    <w:p w14:paraId="10C85AD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sz w:val="24"/>
          <w:szCs w:val="24"/>
        </w:rPr>
      </w:pPr>
      <w:r>
        <w:rPr>
          <w:rFonts w:hint="eastAsia" w:ascii="宋体" w:hAnsi="宋体"/>
          <w:sz w:val="24"/>
          <w:szCs w:val="24"/>
        </w:rPr>
        <w:t>短期投资主要指公司购入的能随时变现且持有时间不超过</w:t>
      </w:r>
      <w:r>
        <w:rPr>
          <w:rFonts w:hint="default" w:ascii="Times New Roman" w:hAnsi="Times New Roman"/>
          <w:sz w:val="24"/>
          <w:szCs w:val="24"/>
          <w:lang w:val="en-US" w:eastAsia="zh-CN"/>
        </w:rPr>
        <w:t>1</w:t>
      </w:r>
      <w:r>
        <w:rPr>
          <w:rFonts w:hint="eastAsia" w:ascii="宋体" w:hAnsi="宋体"/>
          <w:sz w:val="24"/>
          <w:szCs w:val="24"/>
        </w:rPr>
        <w:t>年(含</w:t>
      </w:r>
      <w:r>
        <w:rPr>
          <w:rFonts w:hint="default" w:ascii="Times New Roman" w:hAnsi="Times New Roman"/>
          <w:sz w:val="24"/>
          <w:szCs w:val="24"/>
          <w:lang w:val="en-US" w:eastAsia="zh-CN"/>
        </w:rPr>
        <w:t>1</w:t>
      </w:r>
      <w:r>
        <w:rPr>
          <w:rFonts w:hint="eastAsia" w:ascii="宋体" w:hAnsi="宋体"/>
          <w:sz w:val="24"/>
          <w:szCs w:val="24"/>
        </w:rPr>
        <w:t>年)的投资，包括各种股票、债券、基金、分红型保险等。</w:t>
      </w:r>
    </w:p>
    <w:p w14:paraId="18B19E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sz w:val="24"/>
          <w:szCs w:val="24"/>
        </w:rPr>
      </w:pPr>
      <w:r>
        <w:rPr>
          <w:rFonts w:hint="eastAsia" w:ascii="宋体" w:hAnsi="宋体"/>
          <w:sz w:val="24"/>
          <w:szCs w:val="24"/>
        </w:rPr>
        <w:t>长期投资主要指投资期限超过</w:t>
      </w:r>
      <w:r>
        <w:rPr>
          <w:rFonts w:hint="default" w:ascii="Times New Roman" w:hAnsi="Times New Roman"/>
          <w:sz w:val="24"/>
          <w:szCs w:val="24"/>
          <w:lang w:val="en-US" w:eastAsia="zh-CN"/>
        </w:rPr>
        <w:t>1</w:t>
      </w:r>
      <w:r>
        <w:rPr>
          <w:rFonts w:hint="eastAsia" w:ascii="宋体" w:hAnsi="宋体"/>
          <w:sz w:val="24"/>
          <w:szCs w:val="24"/>
        </w:rPr>
        <w:t>年，不能随时变现或不准备变现的各种投资，</w:t>
      </w:r>
      <w:r>
        <w:rPr>
          <w:rFonts w:hint="eastAsia" w:ascii="宋体" w:hAnsi="宋体"/>
          <w:sz w:val="24"/>
          <w:szCs w:val="24"/>
          <w:lang w:val="en-US" w:eastAsia="zh-CN"/>
        </w:rPr>
        <w:t>如</w:t>
      </w:r>
      <w:r>
        <w:rPr>
          <w:rFonts w:hint="eastAsia" w:ascii="宋体" w:hAnsi="宋体"/>
          <w:sz w:val="24"/>
          <w:szCs w:val="24"/>
        </w:rPr>
        <w:t>股权投资</w:t>
      </w:r>
      <w:r>
        <w:rPr>
          <w:rFonts w:hint="eastAsia" w:ascii="宋体" w:hAnsi="宋体"/>
          <w:sz w:val="24"/>
          <w:szCs w:val="24"/>
          <w:lang w:eastAsia="zh-CN"/>
        </w:rPr>
        <w:t>、</w:t>
      </w:r>
      <w:r>
        <w:rPr>
          <w:rFonts w:hint="eastAsia" w:ascii="宋体" w:hAnsi="宋体"/>
          <w:sz w:val="24"/>
          <w:szCs w:val="24"/>
        </w:rPr>
        <w:t>债券投资和其他投资等</w:t>
      </w:r>
      <w:r>
        <w:rPr>
          <w:rFonts w:hint="eastAsia" w:ascii="宋体" w:hAnsi="宋体"/>
          <w:sz w:val="24"/>
          <w:szCs w:val="24"/>
          <w:lang w:eastAsia="zh-CN"/>
        </w:rPr>
        <w:t>，</w:t>
      </w:r>
      <w:r>
        <w:rPr>
          <w:rFonts w:hint="eastAsia" w:ascii="宋体" w:hAnsi="宋体"/>
          <w:sz w:val="24"/>
          <w:szCs w:val="24"/>
        </w:rPr>
        <w:t>包括但不限于下列类型：</w:t>
      </w:r>
    </w:p>
    <w:p w14:paraId="44C066DB">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公司独立兴办的企业或独立出资的经营项目；</w:t>
      </w:r>
    </w:p>
    <w:p w14:paraId="2360357F">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公司出资与其他境内(外)独立法人实体、自然人成立合资、合作公司或开发项目；</w:t>
      </w:r>
    </w:p>
    <w:p w14:paraId="4B232D00">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控股、参股、兼并其他境内(外)独立法人实体；</w:t>
      </w:r>
    </w:p>
    <w:p w14:paraId="7B581CF6">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经营资产出租、委托经营或与他人共同经营。</w:t>
      </w:r>
    </w:p>
    <w:p w14:paraId="4D80DE7A">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对外投资应遵循的基本原则：符合公司发展战略，合理配置企业资源，促进要素优化组合，创造良好经济效益。</w:t>
      </w:r>
    </w:p>
    <w:p w14:paraId="0E765F1D">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本制度适用于公司及公司所属全资子公司、控股子公司(简称子公司，下同)的一切对外投资行为。</w:t>
      </w:r>
    </w:p>
    <w:p w14:paraId="37F81B6D">
      <w:pPr>
        <w:spacing w:before="156" w:beforeLines="50" w:line="360" w:lineRule="auto"/>
        <w:jc w:val="center"/>
        <w:rPr>
          <w:rFonts w:hint="eastAsia" w:ascii="宋体" w:hAnsi="宋体" w:eastAsia="宋体" w:cs="宋体"/>
          <w:b/>
          <w:bCs w:val="0"/>
          <w:sz w:val="24"/>
          <w:szCs w:val="24"/>
        </w:rPr>
      </w:pPr>
      <w:r>
        <w:rPr>
          <w:rFonts w:hint="eastAsia" w:ascii="宋体" w:hAnsi="宋体" w:eastAsia="宋体" w:cs="宋体"/>
          <w:b/>
          <w:bCs w:val="0"/>
          <w:sz w:val="24"/>
          <w:szCs w:val="24"/>
        </w:rPr>
        <w:t>第二章 对外投资的审批权限</w:t>
      </w:r>
    </w:p>
    <w:p w14:paraId="2CEB69C1">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rPr>
        <w:t>公司对外投资实行专业管理和逐级审批制度。</w:t>
      </w:r>
    </w:p>
    <w:p w14:paraId="53F64894">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rPr>
        <w:t>公司对外投资的审批应严格按照国家有关法律法规</w:t>
      </w:r>
      <w:r>
        <w:rPr>
          <w:rFonts w:hint="eastAsia" w:ascii="宋体" w:hAnsi="宋体"/>
          <w:sz w:val="24"/>
          <w:szCs w:val="24"/>
          <w:lang w:eastAsia="zh-CN"/>
        </w:rPr>
        <w:t>、</w:t>
      </w:r>
      <w:r>
        <w:rPr>
          <w:rFonts w:hint="eastAsia" w:ascii="宋体" w:hAnsi="宋体"/>
          <w:sz w:val="24"/>
          <w:szCs w:val="24"/>
          <w:lang w:val="en-US" w:eastAsia="zh-CN"/>
        </w:rPr>
        <w:t>规范性文件</w:t>
      </w:r>
      <w:r>
        <w:rPr>
          <w:rFonts w:hint="eastAsia" w:ascii="宋体" w:hAnsi="宋体"/>
          <w:sz w:val="24"/>
          <w:szCs w:val="24"/>
        </w:rPr>
        <w:t>及《公司章程》《</w:t>
      </w:r>
      <w:r>
        <w:rPr>
          <w:rFonts w:hint="eastAsia" w:ascii="宋体" w:hAnsi="宋体"/>
          <w:sz w:val="24"/>
          <w:szCs w:val="24"/>
          <w:lang w:eastAsia="zh-CN"/>
        </w:rPr>
        <w:t>股东会</w:t>
      </w:r>
      <w:r>
        <w:rPr>
          <w:rFonts w:hint="eastAsia" w:ascii="宋体" w:hAnsi="宋体"/>
          <w:sz w:val="24"/>
          <w:szCs w:val="24"/>
        </w:rPr>
        <w:t>议事规则》《董事会议事规则》等规定的权限履行审批程序。</w:t>
      </w:r>
    </w:p>
    <w:p w14:paraId="00FA4192">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rPr>
        <w:t>公司对外投资达到下列标准之一的，应当经董事会审议并披露：</w:t>
      </w:r>
    </w:p>
    <w:p w14:paraId="3F5324AF">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20" w:firstLineChars="0"/>
        <w:textAlignment w:val="auto"/>
        <w:rPr>
          <w:rFonts w:ascii="Times New Roman" w:hAnsi="Times New Roman"/>
          <w:sz w:val="24"/>
          <w:szCs w:val="24"/>
        </w:rPr>
      </w:pPr>
      <w:r>
        <w:rPr>
          <w:rFonts w:hint="eastAsia" w:ascii="宋体" w:hAnsi="宋体"/>
          <w:sz w:val="24"/>
          <w:szCs w:val="24"/>
        </w:rPr>
        <w:t>对外投资涉及的资产总额占公司最近一期经审计总资产</w:t>
      </w:r>
      <w:r>
        <w:rPr>
          <w:rFonts w:ascii="Times New Roman" w:hAnsi="Times New Roman"/>
          <w:sz w:val="24"/>
          <w:szCs w:val="24"/>
        </w:rPr>
        <w:t>的10%以上</w:t>
      </w:r>
      <w:r>
        <w:rPr>
          <w:rFonts w:hint="eastAsia" w:ascii="Times New Roman" w:hAnsi="Times New Roman"/>
          <w:sz w:val="24"/>
          <w:szCs w:val="24"/>
          <w:lang w:eastAsia="zh-CN"/>
        </w:rPr>
        <w:t>，该</w:t>
      </w:r>
      <w:r>
        <w:rPr>
          <w:rFonts w:hint="eastAsia" w:ascii="宋体" w:hAnsi="宋体"/>
          <w:sz w:val="24"/>
          <w:szCs w:val="24"/>
        </w:rPr>
        <w:t>对外投资</w:t>
      </w:r>
      <w:r>
        <w:rPr>
          <w:rFonts w:hint="eastAsia" w:ascii="Times New Roman" w:hAnsi="Times New Roman"/>
          <w:sz w:val="24"/>
          <w:szCs w:val="24"/>
          <w:lang w:eastAsia="zh-CN"/>
        </w:rPr>
        <w:t>涉及的资产总额同时存在账面值和评估值的，以较高者作为计算依据</w:t>
      </w:r>
      <w:r>
        <w:rPr>
          <w:rFonts w:ascii="Times New Roman" w:hAnsi="Times New Roman"/>
          <w:sz w:val="24"/>
          <w:szCs w:val="24"/>
        </w:rPr>
        <w:t>；</w:t>
      </w:r>
    </w:p>
    <w:p w14:paraId="6156512C">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20" w:firstLineChars="0"/>
        <w:textAlignment w:val="auto"/>
        <w:rPr>
          <w:rFonts w:ascii="Times New Roman" w:hAnsi="Times New Roman"/>
          <w:sz w:val="24"/>
          <w:szCs w:val="24"/>
        </w:rPr>
      </w:pPr>
      <w:r>
        <w:rPr>
          <w:rFonts w:ascii="Times New Roman" w:hAnsi="Times New Roman"/>
          <w:sz w:val="24"/>
          <w:szCs w:val="24"/>
        </w:rPr>
        <w:t>对外投资（如股权）</w:t>
      </w:r>
      <w:r>
        <w:rPr>
          <w:rFonts w:hint="eastAsia" w:ascii="Times New Roman" w:hAnsi="Times New Roman"/>
          <w:sz w:val="24"/>
          <w:szCs w:val="24"/>
        </w:rPr>
        <w:t>在最近一个会计年度相关的营业收入</w:t>
      </w:r>
      <w:r>
        <w:rPr>
          <w:rFonts w:ascii="Times New Roman" w:hAnsi="Times New Roman"/>
          <w:sz w:val="24"/>
          <w:szCs w:val="24"/>
        </w:rPr>
        <w:t>占公司最近</w:t>
      </w:r>
      <w:r>
        <w:rPr>
          <w:rFonts w:hint="eastAsia" w:ascii="Times New Roman" w:hAnsi="Times New Roman"/>
          <w:sz w:val="24"/>
          <w:szCs w:val="24"/>
          <w:lang w:val="en-US" w:eastAsia="zh-CN"/>
        </w:rPr>
        <w:t>一个会计年度</w:t>
      </w:r>
      <w:r>
        <w:rPr>
          <w:rFonts w:ascii="Times New Roman" w:hAnsi="Times New Roman"/>
          <w:sz w:val="24"/>
          <w:szCs w:val="24"/>
        </w:rPr>
        <w:t>经审计</w:t>
      </w:r>
      <w:r>
        <w:rPr>
          <w:rFonts w:hint="eastAsia" w:ascii="Times New Roman" w:hAnsi="Times New Roman"/>
          <w:sz w:val="24"/>
          <w:szCs w:val="24"/>
          <w:lang w:val="en-US" w:eastAsia="zh-CN"/>
        </w:rPr>
        <w:t>营业收入</w:t>
      </w:r>
      <w:r>
        <w:rPr>
          <w:rFonts w:ascii="Times New Roman" w:hAnsi="Times New Roman"/>
          <w:sz w:val="24"/>
          <w:szCs w:val="24"/>
        </w:rPr>
        <w:t>的10%</w:t>
      </w:r>
      <w:r>
        <w:rPr>
          <w:rFonts w:hint="eastAsia" w:ascii="Times New Roman" w:hAnsi="Times New Roman"/>
          <w:sz w:val="24"/>
          <w:szCs w:val="24"/>
          <w:lang w:val="en-US" w:eastAsia="zh-CN"/>
        </w:rPr>
        <w:t>以上</w:t>
      </w:r>
      <w:r>
        <w:rPr>
          <w:rFonts w:ascii="Times New Roman" w:hAnsi="Times New Roman"/>
          <w:sz w:val="24"/>
          <w:szCs w:val="24"/>
        </w:rPr>
        <w:t>，且绝对</w:t>
      </w:r>
      <w:r>
        <w:rPr>
          <w:rFonts w:hint="eastAsia" w:ascii="Times New Roman" w:hAnsi="Times New Roman"/>
          <w:sz w:val="24"/>
          <w:szCs w:val="24"/>
          <w:lang w:val="en-US" w:eastAsia="zh-CN"/>
        </w:rPr>
        <w:t>金额</w:t>
      </w:r>
      <w:r>
        <w:rPr>
          <w:rFonts w:ascii="Times New Roman" w:hAnsi="Times New Roman"/>
          <w:sz w:val="24"/>
          <w:szCs w:val="24"/>
        </w:rPr>
        <w:t>超过1000万元；</w:t>
      </w:r>
    </w:p>
    <w:p w14:paraId="35FF4E27">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20" w:firstLineChars="0"/>
        <w:textAlignment w:val="auto"/>
        <w:rPr>
          <w:rFonts w:ascii="Times New Roman" w:hAnsi="Times New Roman"/>
          <w:sz w:val="24"/>
          <w:szCs w:val="24"/>
        </w:rPr>
      </w:pPr>
      <w:r>
        <w:rPr>
          <w:rFonts w:ascii="Times New Roman" w:hAnsi="Times New Roman"/>
          <w:sz w:val="24"/>
          <w:szCs w:val="24"/>
        </w:rPr>
        <w:t>对外投资（如股权）在最近一个会计年度相关的净利润占公司最近一个会计年度经审计净利润的10%以上，且绝对金额超过100万元；</w:t>
      </w:r>
    </w:p>
    <w:p w14:paraId="474FBAA6">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20" w:firstLineChars="0"/>
        <w:textAlignment w:val="auto"/>
        <w:rPr>
          <w:rFonts w:ascii="Times New Roman" w:hAnsi="Times New Roman"/>
          <w:sz w:val="24"/>
          <w:szCs w:val="24"/>
        </w:rPr>
      </w:pPr>
      <w:r>
        <w:rPr>
          <w:rFonts w:ascii="Times New Roman" w:hAnsi="Times New Roman"/>
          <w:sz w:val="24"/>
          <w:szCs w:val="24"/>
        </w:rPr>
        <w:t>对外投资的成交金额（含承担债务和费用）占公司最近一期经审计净资产的10%以上，且绝对金额超过1000万元；</w:t>
      </w:r>
    </w:p>
    <w:p w14:paraId="7BF08A1D">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ascii="Times New Roman" w:hAnsi="Times New Roman"/>
          <w:sz w:val="24"/>
          <w:szCs w:val="24"/>
        </w:rPr>
        <w:t>对外投资产生的利润占公司最近一个会计年度经审计净利润的10%以上，且绝对金额超过100万元</w:t>
      </w:r>
      <w:r>
        <w:rPr>
          <w:rFonts w:hint="eastAsia" w:ascii="宋体" w:hAnsi="宋体"/>
          <w:sz w:val="24"/>
          <w:szCs w:val="24"/>
        </w:rPr>
        <w:t>。</w:t>
      </w:r>
    </w:p>
    <w:p w14:paraId="2833F2EF">
      <w:pPr>
        <w:keepNext w:val="0"/>
        <w:keepLines w:val="0"/>
        <w:pageBreakBefore w:val="0"/>
        <w:widowControl w:val="0"/>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上述指标计算中涉及的数据如为负值，取其绝对值计算。</w:t>
      </w:r>
    </w:p>
    <w:p w14:paraId="1ECECD49">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公司进行委托理财时，应当选择资信状况、财务状况良好、无不良诚信记录及盈利能力强的合格专业理财机构作为受托方，并与受托方签订书面合同，明确理财的金额、期间、投资品种、双方的权利义务及法律责任等。</w:t>
      </w:r>
    </w:p>
    <w:p w14:paraId="3E2D8140">
      <w:pPr>
        <w:keepNext w:val="0"/>
        <w:keepLines w:val="0"/>
        <w:pageBreakBefore w:val="0"/>
        <w:widowControl w:val="0"/>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公司财务部负责跟踪委托理财的进展情况及投资安全状况，出现投资决策管理异常情况时应当要求其及时报告，以便董事会立即采取有效措施回收资金，避免或减少公司损失。</w:t>
      </w:r>
    </w:p>
    <w:p w14:paraId="3C9624D8">
      <w:pPr>
        <w:keepNext w:val="0"/>
        <w:keepLines w:val="0"/>
        <w:pageBreakBefore w:val="0"/>
        <w:widowControl w:val="0"/>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公司进行委托理财等投资事项的，应当按照有关规定制定严格的决策程序、报告制度和监控措施，并根据公司的风险承受能力确定投资规模。</w:t>
      </w:r>
    </w:p>
    <w:p w14:paraId="7F11B35A">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ascii="宋体" w:hAnsi="宋体"/>
          <w:sz w:val="24"/>
          <w:szCs w:val="24"/>
        </w:rPr>
      </w:pPr>
      <w:r>
        <w:rPr>
          <w:rFonts w:hint="eastAsia" w:ascii="宋体" w:hAnsi="宋体"/>
          <w:sz w:val="24"/>
          <w:szCs w:val="24"/>
        </w:rPr>
        <w:t xml:space="preserve"> 公司对外投资达到下列标准之一时，</w:t>
      </w:r>
      <w:r>
        <w:rPr>
          <w:rFonts w:hint="eastAsia" w:ascii="宋体" w:hAnsi="宋体"/>
          <w:sz w:val="24"/>
          <w:szCs w:val="24"/>
          <w:lang w:val="en-US" w:eastAsia="zh-CN"/>
        </w:rPr>
        <w:t>经</w:t>
      </w:r>
      <w:r>
        <w:rPr>
          <w:rFonts w:hint="eastAsia" w:ascii="宋体" w:hAnsi="宋体"/>
          <w:sz w:val="24"/>
          <w:szCs w:val="24"/>
        </w:rPr>
        <w:t>公司董事会审议后应提交</w:t>
      </w:r>
      <w:r>
        <w:rPr>
          <w:rFonts w:hint="eastAsia" w:ascii="宋体" w:hAnsi="宋体"/>
          <w:sz w:val="24"/>
          <w:szCs w:val="24"/>
          <w:lang w:eastAsia="zh-CN"/>
        </w:rPr>
        <w:t>股东会</w:t>
      </w:r>
      <w:r>
        <w:rPr>
          <w:rFonts w:hint="eastAsia" w:ascii="宋体" w:hAnsi="宋体"/>
          <w:sz w:val="24"/>
          <w:szCs w:val="24"/>
        </w:rPr>
        <w:t>审议并披露：</w:t>
      </w:r>
    </w:p>
    <w:p w14:paraId="59474AC8">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200"/>
        <w:textAlignment w:val="auto"/>
        <w:rPr>
          <w:rFonts w:ascii="Times New Roman" w:hAnsi="Times New Roman"/>
          <w:sz w:val="24"/>
          <w:szCs w:val="24"/>
        </w:rPr>
      </w:pPr>
      <w:r>
        <w:rPr>
          <w:rFonts w:hint="eastAsia" w:ascii="宋体" w:hAnsi="宋体"/>
          <w:sz w:val="24"/>
          <w:szCs w:val="24"/>
        </w:rPr>
        <w:t>对外投资涉及的资产总额占公司最近一期经审计总资产</w:t>
      </w:r>
      <w:r>
        <w:rPr>
          <w:rFonts w:ascii="Times New Roman" w:hAnsi="Times New Roman"/>
          <w:sz w:val="24"/>
          <w:szCs w:val="24"/>
        </w:rPr>
        <w:t>的50%以上</w:t>
      </w:r>
      <w:r>
        <w:rPr>
          <w:rFonts w:hint="eastAsia" w:ascii="Times New Roman" w:hAnsi="Times New Roman"/>
          <w:sz w:val="24"/>
          <w:szCs w:val="24"/>
          <w:lang w:eastAsia="zh-CN"/>
        </w:rPr>
        <w:t>，该</w:t>
      </w:r>
      <w:r>
        <w:rPr>
          <w:rFonts w:hint="eastAsia" w:ascii="宋体" w:hAnsi="宋体"/>
          <w:sz w:val="24"/>
          <w:szCs w:val="24"/>
        </w:rPr>
        <w:t>对外投资</w:t>
      </w:r>
      <w:r>
        <w:rPr>
          <w:rFonts w:hint="eastAsia" w:ascii="Times New Roman" w:hAnsi="Times New Roman"/>
          <w:sz w:val="24"/>
          <w:szCs w:val="24"/>
          <w:lang w:eastAsia="zh-CN"/>
        </w:rPr>
        <w:t>涉及的资产总额同时存在账面值和评估值的，以较高者作为计算依据</w:t>
      </w:r>
      <w:r>
        <w:rPr>
          <w:rFonts w:ascii="Times New Roman" w:hAnsi="Times New Roman"/>
          <w:sz w:val="24"/>
          <w:szCs w:val="24"/>
        </w:rPr>
        <w:t>；</w:t>
      </w:r>
    </w:p>
    <w:p w14:paraId="0A8CFB34">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200"/>
        <w:textAlignment w:val="auto"/>
        <w:rPr>
          <w:rFonts w:ascii="Times New Roman" w:hAnsi="Times New Roman"/>
          <w:sz w:val="24"/>
          <w:szCs w:val="24"/>
        </w:rPr>
      </w:pPr>
      <w:r>
        <w:rPr>
          <w:rFonts w:ascii="Times New Roman" w:hAnsi="Times New Roman"/>
          <w:sz w:val="24"/>
          <w:szCs w:val="24"/>
        </w:rPr>
        <w:t>对外投资（如股权）在最近一个会计年度相关的营业</w:t>
      </w:r>
      <w:r>
        <w:rPr>
          <w:rFonts w:hint="eastAsia" w:ascii="Times New Roman" w:hAnsi="Times New Roman"/>
          <w:sz w:val="24"/>
          <w:szCs w:val="24"/>
          <w:lang w:val="en-US" w:eastAsia="zh-CN"/>
        </w:rPr>
        <w:t>收入</w:t>
      </w:r>
      <w:r>
        <w:rPr>
          <w:rFonts w:ascii="Times New Roman" w:hAnsi="Times New Roman"/>
          <w:sz w:val="24"/>
          <w:szCs w:val="24"/>
        </w:rPr>
        <w:t>占公司最近一个会计年度经审计营业收入的50%以上，且绝对金额超过5000万元；</w:t>
      </w:r>
    </w:p>
    <w:p w14:paraId="21885D61">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200"/>
        <w:textAlignment w:val="auto"/>
        <w:rPr>
          <w:rFonts w:ascii="Times New Roman" w:hAnsi="Times New Roman"/>
          <w:sz w:val="24"/>
          <w:szCs w:val="24"/>
        </w:rPr>
      </w:pPr>
      <w:r>
        <w:rPr>
          <w:rFonts w:ascii="Times New Roman" w:hAnsi="Times New Roman"/>
          <w:sz w:val="24"/>
          <w:szCs w:val="24"/>
        </w:rPr>
        <w:t>对外投资（如股权）在最近一个会计年度相关的净利润占公司最近一个会计年度经审计净利润的50%以上，且绝对金额超过500万元；</w:t>
      </w:r>
    </w:p>
    <w:p w14:paraId="74AB1C90">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200"/>
        <w:textAlignment w:val="auto"/>
        <w:rPr>
          <w:rFonts w:ascii="Times New Roman" w:hAnsi="Times New Roman"/>
          <w:sz w:val="24"/>
          <w:szCs w:val="24"/>
        </w:rPr>
      </w:pPr>
      <w:r>
        <w:rPr>
          <w:rFonts w:ascii="Times New Roman" w:hAnsi="Times New Roman"/>
          <w:sz w:val="24"/>
          <w:szCs w:val="24"/>
        </w:rPr>
        <w:t>对外投资的成交金额（含承担债务和费用）占公司最近一期经审计净资产的50%以上，且绝对金额超过5000万元；</w:t>
      </w:r>
    </w:p>
    <w:p w14:paraId="29DB136E">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ascii="Times New Roman" w:hAnsi="Times New Roman"/>
          <w:sz w:val="24"/>
          <w:szCs w:val="24"/>
        </w:rPr>
        <w:t>对外投资</w:t>
      </w:r>
      <w:r>
        <w:rPr>
          <w:rFonts w:hint="eastAsia" w:ascii="Times New Roman" w:hAnsi="Times New Roman"/>
          <w:sz w:val="24"/>
          <w:szCs w:val="24"/>
          <w:lang w:val="en-US" w:eastAsia="zh-CN"/>
        </w:rPr>
        <w:t>产生</w:t>
      </w:r>
      <w:r>
        <w:rPr>
          <w:rFonts w:ascii="Times New Roman" w:hAnsi="Times New Roman"/>
          <w:sz w:val="24"/>
          <w:szCs w:val="24"/>
        </w:rPr>
        <w:t>的利润占公司最近一个会计年度经审计净利润的50%以上，且绝对金额超过500万元</w:t>
      </w:r>
      <w:r>
        <w:rPr>
          <w:rFonts w:hint="eastAsia" w:ascii="宋体" w:hAnsi="宋体"/>
          <w:sz w:val="24"/>
          <w:szCs w:val="24"/>
        </w:rPr>
        <w:t>。</w:t>
      </w:r>
    </w:p>
    <w:p w14:paraId="5C29A343">
      <w:pPr>
        <w:keepNext w:val="0"/>
        <w:keepLines w:val="0"/>
        <w:pageBreakBefore w:val="0"/>
        <w:widowControl w:val="0"/>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上述指标计算中涉及的数据如为负值，取其绝对值计算。</w:t>
      </w:r>
    </w:p>
    <w:p w14:paraId="3D4E1B0E">
      <w:pPr>
        <w:keepNext w:val="0"/>
        <w:keepLines w:val="0"/>
        <w:pageBreakBefore w:val="0"/>
        <w:widowControl w:val="0"/>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公司购买、出售重大资产</w:t>
      </w:r>
      <w:r>
        <w:rPr>
          <w:rFonts w:hint="eastAsia" w:ascii="宋体" w:hAnsi="宋体"/>
          <w:sz w:val="24"/>
          <w:szCs w:val="24"/>
          <w:lang w:val="en-US" w:eastAsia="zh-CN"/>
        </w:rPr>
        <w:t>交易，</w:t>
      </w:r>
      <w:r>
        <w:rPr>
          <w:rFonts w:hint="eastAsia" w:ascii="宋体" w:hAnsi="宋体"/>
          <w:sz w:val="24"/>
          <w:szCs w:val="24"/>
        </w:rPr>
        <w:t>应当以资产总额和成交金额中的较高者作为计算标准</w:t>
      </w:r>
      <w:r>
        <w:rPr>
          <w:rFonts w:hint="eastAsia" w:ascii="宋体" w:hAnsi="宋体"/>
          <w:sz w:val="24"/>
          <w:szCs w:val="24"/>
          <w:lang w:eastAsia="zh-CN"/>
        </w:rPr>
        <w:t>，</w:t>
      </w:r>
      <w:r>
        <w:rPr>
          <w:rFonts w:hint="eastAsia" w:ascii="宋体" w:hAnsi="宋体"/>
          <w:sz w:val="24"/>
          <w:szCs w:val="24"/>
          <w:lang w:val="en-US" w:eastAsia="zh-CN"/>
        </w:rPr>
        <w:t>按交易类型</w:t>
      </w:r>
      <w:r>
        <w:rPr>
          <w:rFonts w:hint="eastAsia" w:ascii="宋体" w:hAnsi="宋体"/>
          <w:sz w:val="24"/>
          <w:szCs w:val="24"/>
        </w:rPr>
        <w:t>连续</w:t>
      </w:r>
      <w:r>
        <w:rPr>
          <w:rFonts w:hint="default" w:ascii="Times New Roman" w:hAnsi="Times New Roman"/>
          <w:sz w:val="24"/>
          <w:szCs w:val="24"/>
        </w:rPr>
        <w:t>12</w:t>
      </w:r>
      <w:r>
        <w:rPr>
          <w:rFonts w:hint="eastAsia" w:ascii="宋体" w:hAnsi="宋体"/>
          <w:sz w:val="24"/>
          <w:szCs w:val="24"/>
        </w:rPr>
        <w:t>个月内累计</w:t>
      </w:r>
      <w:r>
        <w:rPr>
          <w:rFonts w:hint="eastAsia" w:ascii="宋体" w:hAnsi="宋体"/>
          <w:sz w:val="24"/>
          <w:szCs w:val="24"/>
          <w:lang w:val="en-US" w:eastAsia="zh-CN"/>
        </w:rPr>
        <w:t>金额达到</w:t>
      </w:r>
      <w:r>
        <w:rPr>
          <w:rFonts w:hint="eastAsia" w:ascii="宋体" w:hAnsi="宋体"/>
          <w:sz w:val="24"/>
          <w:szCs w:val="24"/>
        </w:rPr>
        <w:t>最近一期经审计总资产</w:t>
      </w:r>
      <w:r>
        <w:rPr>
          <w:rFonts w:hint="default" w:ascii="Times New Roman" w:hAnsi="Times New Roman"/>
          <w:sz w:val="24"/>
          <w:szCs w:val="24"/>
        </w:rPr>
        <w:t>30%</w:t>
      </w:r>
      <w:r>
        <w:rPr>
          <w:rFonts w:hint="eastAsia" w:ascii="宋体" w:hAnsi="宋体"/>
          <w:sz w:val="24"/>
          <w:szCs w:val="24"/>
        </w:rPr>
        <w:t>的，需提交股东会审议</w:t>
      </w:r>
      <w:r>
        <w:rPr>
          <w:rFonts w:hint="eastAsia" w:ascii="宋体" w:hAnsi="宋体"/>
          <w:sz w:val="24"/>
          <w:szCs w:val="24"/>
          <w:lang w:eastAsia="zh-CN"/>
        </w:rPr>
        <w:t>，</w:t>
      </w:r>
      <w:r>
        <w:rPr>
          <w:rFonts w:hint="eastAsia" w:ascii="宋体" w:hAnsi="宋体"/>
          <w:sz w:val="24"/>
          <w:szCs w:val="24"/>
        </w:rPr>
        <w:t>经出席会议的股东所持表决权的</w:t>
      </w:r>
      <w:r>
        <w:rPr>
          <w:rFonts w:hint="default" w:ascii="Times New Roman" w:hAnsi="Times New Roman"/>
          <w:sz w:val="24"/>
          <w:szCs w:val="24"/>
          <w:lang w:eastAsia="zh-CN"/>
        </w:rPr>
        <w:t>2</w:t>
      </w:r>
      <w:r>
        <w:rPr>
          <w:rFonts w:hint="default" w:ascii="Times New Roman" w:hAnsi="Times New Roman"/>
          <w:sz w:val="24"/>
          <w:szCs w:val="24"/>
          <w:lang w:val="en-US" w:eastAsia="zh-CN"/>
        </w:rPr>
        <w:t>/3</w:t>
      </w:r>
      <w:r>
        <w:rPr>
          <w:rFonts w:hint="eastAsia" w:ascii="宋体" w:hAnsi="宋体"/>
          <w:sz w:val="24"/>
          <w:szCs w:val="24"/>
        </w:rPr>
        <w:t>以上通过。</w:t>
      </w:r>
    </w:p>
    <w:p w14:paraId="1E4D8843">
      <w:pPr>
        <w:keepNext w:val="0"/>
        <w:keepLines w:val="0"/>
        <w:pageBreakBefore w:val="0"/>
        <w:widowControl w:val="0"/>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已按照前款规定履行相关义务的，不再纳入相关的累计计算范围。</w:t>
      </w:r>
    </w:p>
    <w:p w14:paraId="547330D4">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未达到应由董事会、</w:t>
      </w:r>
      <w:r>
        <w:rPr>
          <w:rFonts w:hint="eastAsia" w:ascii="宋体" w:hAnsi="宋体"/>
          <w:sz w:val="24"/>
          <w:szCs w:val="24"/>
          <w:lang w:eastAsia="zh-CN"/>
        </w:rPr>
        <w:t>股东会</w:t>
      </w:r>
      <w:r>
        <w:rPr>
          <w:rFonts w:hint="eastAsia" w:ascii="宋体" w:hAnsi="宋体"/>
          <w:sz w:val="24"/>
          <w:szCs w:val="24"/>
        </w:rPr>
        <w:t>审议标准的交易事项，由公司总经理决定。</w:t>
      </w:r>
    </w:p>
    <w:p w14:paraId="436DACD2">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rPr>
        <w:t>若公司对外投资涉及关联交易的，其审议权限和程序还应按法律法规、</w:t>
      </w:r>
      <w:r>
        <w:rPr>
          <w:rFonts w:hint="eastAsia" w:ascii="宋体" w:hAnsi="宋体"/>
          <w:sz w:val="24"/>
          <w:szCs w:val="24"/>
          <w:lang w:val="en-US" w:eastAsia="zh-CN"/>
        </w:rPr>
        <w:t>规范性文件、</w:t>
      </w:r>
      <w:r>
        <w:rPr>
          <w:rFonts w:hint="eastAsia" w:ascii="宋体" w:hAnsi="宋体"/>
          <w:sz w:val="24"/>
          <w:szCs w:val="24"/>
        </w:rPr>
        <w:t>《公司章程》及</w:t>
      </w:r>
      <w:r>
        <w:rPr>
          <w:rFonts w:hint="eastAsia" w:ascii="宋体" w:hAnsi="宋体"/>
          <w:sz w:val="24"/>
          <w:szCs w:val="24"/>
          <w:lang w:val="en-US" w:eastAsia="zh-CN"/>
        </w:rPr>
        <w:t>公司</w:t>
      </w:r>
      <w:r>
        <w:rPr>
          <w:rFonts w:hint="eastAsia" w:ascii="宋体" w:hAnsi="宋体"/>
          <w:sz w:val="24"/>
          <w:szCs w:val="24"/>
        </w:rPr>
        <w:t>《关联交易管理办法》执行。</w:t>
      </w:r>
    </w:p>
    <w:p w14:paraId="10FC3DB3">
      <w:pPr>
        <w:spacing w:before="156" w:beforeLines="50" w:line="360" w:lineRule="auto"/>
        <w:jc w:val="center"/>
        <w:rPr>
          <w:rFonts w:hint="eastAsia" w:ascii="宋体" w:hAnsi="宋体" w:eastAsia="宋体" w:cs="宋体"/>
          <w:b/>
          <w:bCs w:val="0"/>
          <w:sz w:val="24"/>
          <w:szCs w:val="24"/>
        </w:rPr>
      </w:pPr>
      <w:r>
        <w:rPr>
          <w:rFonts w:hint="eastAsia" w:ascii="宋体" w:hAnsi="宋体" w:eastAsia="宋体" w:cs="宋体"/>
          <w:b/>
          <w:bCs w:val="0"/>
          <w:sz w:val="24"/>
          <w:szCs w:val="24"/>
        </w:rPr>
        <w:t>第三章 对外投资管理的组织机构</w:t>
      </w:r>
    </w:p>
    <w:p w14:paraId="641462BD">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ascii="宋体" w:hAnsi="宋体"/>
          <w:sz w:val="24"/>
          <w:szCs w:val="24"/>
        </w:rPr>
      </w:pPr>
      <w:r>
        <w:rPr>
          <w:rFonts w:hint="eastAsia" w:ascii="宋体" w:hAnsi="宋体"/>
          <w:sz w:val="24"/>
          <w:szCs w:val="24"/>
        </w:rPr>
        <w:t xml:space="preserve"> 公司</w:t>
      </w:r>
      <w:r>
        <w:rPr>
          <w:rFonts w:hint="eastAsia" w:ascii="宋体" w:hAnsi="宋体"/>
          <w:sz w:val="24"/>
          <w:szCs w:val="24"/>
          <w:lang w:eastAsia="zh-CN"/>
        </w:rPr>
        <w:t>股东会</w:t>
      </w:r>
      <w:r>
        <w:rPr>
          <w:rFonts w:hint="eastAsia" w:ascii="宋体" w:hAnsi="宋体"/>
          <w:sz w:val="24"/>
          <w:szCs w:val="24"/>
        </w:rPr>
        <w:t>、董事会、总经理为公司对外投资的决策机构，各自在其权限范围内，对公司的对外投资作出决策</w:t>
      </w:r>
      <w:r>
        <w:rPr>
          <w:rFonts w:hint="eastAsia" w:ascii="宋体" w:hAnsi="宋体"/>
          <w:sz w:val="24"/>
          <w:szCs w:val="24"/>
          <w:lang w:eastAsia="zh-CN"/>
        </w:rPr>
        <w:t>，</w:t>
      </w:r>
      <w:r>
        <w:rPr>
          <w:rFonts w:hint="eastAsia" w:ascii="宋体" w:hAnsi="宋体"/>
          <w:sz w:val="24"/>
          <w:szCs w:val="24"/>
        </w:rPr>
        <w:t>其他任何部门和个人无权做出对外投资的决定。</w:t>
      </w:r>
    </w:p>
    <w:p w14:paraId="550A15E3">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董事会战略委员会为公司董事会的专门议事机构，负责统筹、协调和组织对外投资项目的分析和研究，并形成对外投资预案递交董事会审议。</w:t>
      </w:r>
    </w:p>
    <w:p w14:paraId="2B6B8F01">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公司总经理为对外投资实施的主要负责人，负责对新的投资项目进行信息收集、整理和初步评估，提出投资建议等，并应及时向董事会汇报投资进展情况，以利于董事会及</w:t>
      </w:r>
      <w:r>
        <w:rPr>
          <w:rFonts w:hint="eastAsia" w:ascii="宋体" w:hAnsi="宋体"/>
          <w:sz w:val="24"/>
          <w:szCs w:val="24"/>
          <w:lang w:eastAsia="zh-CN"/>
        </w:rPr>
        <w:t>股东会</w:t>
      </w:r>
      <w:r>
        <w:rPr>
          <w:rFonts w:hint="eastAsia" w:ascii="宋体" w:hAnsi="宋体"/>
          <w:sz w:val="24"/>
          <w:szCs w:val="24"/>
        </w:rPr>
        <w:t>及时对投资作出决策。</w:t>
      </w:r>
    </w:p>
    <w:p w14:paraId="67D0FD4B">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公司</w:t>
      </w:r>
      <w:r>
        <w:rPr>
          <w:rFonts w:hint="eastAsia" w:ascii="宋体" w:hAnsi="宋体"/>
          <w:sz w:val="24"/>
          <w:szCs w:val="24"/>
          <w:lang w:val="en-US" w:eastAsia="zh-CN"/>
        </w:rPr>
        <w:t>投资部</w:t>
      </w:r>
      <w:r>
        <w:rPr>
          <w:rFonts w:hint="eastAsia" w:ascii="宋体" w:hAnsi="宋体"/>
          <w:sz w:val="24"/>
          <w:szCs w:val="24"/>
        </w:rPr>
        <w:t>为项目承办单位，具体负责投资项目的信息收集、项目建议书以及可行性研究报告的编制、项目申报立项、项目实施过程中的监督、协调以及项目后评价工作。</w:t>
      </w:r>
    </w:p>
    <w:p w14:paraId="38DA7F65">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公司财务部为对外投资的日常财务管理部门。公司对外投资项目确定后，由财务部负责筹措资金，协同相关方面办理出资手续、工商登记、税务登记、银行开户等相关手续工作，并执行严格的借款、审批和付款手续。</w:t>
      </w:r>
    </w:p>
    <w:p w14:paraId="3F6EA58B">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对专业性</w:t>
      </w:r>
      <w:r>
        <w:rPr>
          <w:rFonts w:hint="eastAsia" w:ascii="宋体" w:hAnsi="宋体"/>
          <w:sz w:val="24"/>
          <w:szCs w:val="24"/>
          <w:lang w:val="en-US" w:eastAsia="zh-CN"/>
        </w:rPr>
        <w:t>较</w:t>
      </w:r>
      <w:r>
        <w:rPr>
          <w:rFonts w:hint="eastAsia" w:ascii="宋体" w:hAnsi="宋体"/>
          <w:sz w:val="24"/>
          <w:szCs w:val="24"/>
        </w:rPr>
        <w:t>强或</w:t>
      </w:r>
      <w:r>
        <w:rPr>
          <w:rFonts w:hint="eastAsia" w:ascii="宋体" w:hAnsi="宋体"/>
          <w:sz w:val="24"/>
          <w:szCs w:val="24"/>
          <w:lang w:val="en-US" w:eastAsia="zh-CN"/>
        </w:rPr>
        <w:t>规模</w:t>
      </w:r>
      <w:r>
        <w:rPr>
          <w:rFonts w:hint="eastAsia" w:ascii="宋体" w:hAnsi="宋体"/>
          <w:sz w:val="24"/>
          <w:szCs w:val="24"/>
        </w:rPr>
        <w:t>较大</w:t>
      </w:r>
      <w:r>
        <w:rPr>
          <w:rFonts w:hint="eastAsia" w:ascii="宋体" w:hAnsi="宋体"/>
          <w:sz w:val="24"/>
          <w:szCs w:val="24"/>
          <w:lang w:val="en-US" w:eastAsia="zh-CN"/>
        </w:rPr>
        <w:t>的</w:t>
      </w:r>
      <w:r>
        <w:rPr>
          <w:rFonts w:hint="eastAsia" w:ascii="宋体" w:hAnsi="宋体"/>
          <w:sz w:val="24"/>
          <w:szCs w:val="24"/>
        </w:rPr>
        <w:t>投资项目，其前期工作应组成专门项目可行性调研小组来完成。</w:t>
      </w:r>
    </w:p>
    <w:p w14:paraId="2CD20B14">
      <w:pPr>
        <w:spacing w:before="156" w:beforeLines="50" w:line="360" w:lineRule="auto"/>
        <w:jc w:val="center"/>
        <w:rPr>
          <w:rFonts w:hint="eastAsia" w:ascii="宋体" w:hAnsi="宋体" w:eastAsia="宋体" w:cs="宋体"/>
          <w:b/>
          <w:bCs w:val="0"/>
          <w:sz w:val="24"/>
          <w:szCs w:val="24"/>
        </w:rPr>
      </w:pPr>
      <w:r>
        <w:rPr>
          <w:rFonts w:hint="eastAsia" w:ascii="宋体" w:hAnsi="宋体" w:eastAsia="宋体" w:cs="宋体"/>
          <w:b/>
          <w:bCs w:val="0"/>
          <w:sz w:val="24"/>
          <w:szCs w:val="24"/>
        </w:rPr>
        <w:t>第四章 对外投资管理</w:t>
      </w:r>
    </w:p>
    <w:p w14:paraId="3F4D7480">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ascii="宋体" w:hAnsi="宋体"/>
          <w:sz w:val="24"/>
          <w:szCs w:val="24"/>
        </w:rPr>
      </w:pPr>
      <w:r>
        <w:rPr>
          <w:rFonts w:hint="eastAsia" w:ascii="宋体" w:hAnsi="宋体"/>
          <w:sz w:val="24"/>
          <w:szCs w:val="24"/>
        </w:rPr>
        <w:t xml:space="preserve"> 公司短期投资程序：</w:t>
      </w:r>
    </w:p>
    <w:p w14:paraId="29D58D15">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财务部定期编制资金流量状况表；</w:t>
      </w:r>
    </w:p>
    <w:p w14:paraId="7AED3A0A">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公司投资分析人员根据证券市场上各种证券的情况和其他投资对象的盈利能力编报年度短期投资计划，报董事长或董事会、</w:t>
      </w:r>
      <w:r>
        <w:rPr>
          <w:rFonts w:hint="eastAsia" w:ascii="宋体" w:hAnsi="宋体"/>
          <w:sz w:val="24"/>
          <w:szCs w:val="24"/>
          <w:lang w:eastAsia="zh-CN"/>
        </w:rPr>
        <w:t>股东会</w:t>
      </w:r>
      <w:r>
        <w:rPr>
          <w:rFonts w:hint="eastAsia" w:ascii="宋体" w:hAnsi="宋体"/>
          <w:sz w:val="24"/>
          <w:szCs w:val="24"/>
        </w:rPr>
        <w:t>按照短期投资规模大小进行批准；</w:t>
      </w:r>
    </w:p>
    <w:p w14:paraId="76B72818">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财务部按投资计划负责将投资计划内的资金划拨至其他货币资金账户；</w:t>
      </w:r>
    </w:p>
    <w:p w14:paraId="0FCC5446">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投资操作人员提出证券投资意见，经主管投资的副总经理确认后，可申购或买入、卖出证券；</w:t>
      </w:r>
    </w:p>
    <w:p w14:paraId="09158729">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主管投资的副总经理定期汇总短期投资盈亏情况及市值表，报总经理或董事会、</w:t>
      </w:r>
      <w:r>
        <w:rPr>
          <w:rFonts w:hint="eastAsia" w:ascii="宋体" w:hAnsi="宋体"/>
          <w:sz w:val="24"/>
          <w:szCs w:val="24"/>
          <w:lang w:eastAsia="zh-CN"/>
        </w:rPr>
        <w:t>股东会</w:t>
      </w:r>
      <w:r>
        <w:rPr>
          <w:rFonts w:hint="eastAsia" w:ascii="宋体" w:hAnsi="宋体"/>
          <w:sz w:val="24"/>
          <w:szCs w:val="24"/>
        </w:rPr>
        <w:t>审阅。</w:t>
      </w:r>
    </w:p>
    <w:p w14:paraId="60165BD4">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投资操作人员应于每月月底将投资相关单据交财务部，财务部负责按照短期投资类别、数量、单价、应计利息、购进日期等及时登记入账，并进行相关账务处理。</w:t>
      </w:r>
    </w:p>
    <w:p w14:paraId="43E3CEE3">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公司建立严格的证券保管制度，至少要由</w:t>
      </w:r>
      <w:r>
        <w:rPr>
          <w:rFonts w:hint="default" w:ascii="Times New Roman" w:hAnsi="Times New Roman"/>
          <w:sz w:val="24"/>
          <w:szCs w:val="24"/>
          <w:lang w:val="en-US" w:eastAsia="zh-CN"/>
        </w:rPr>
        <w:t>2</w:t>
      </w:r>
      <w:r>
        <w:rPr>
          <w:rFonts w:hint="eastAsia" w:ascii="宋体" w:hAnsi="宋体"/>
          <w:sz w:val="24"/>
          <w:szCs w:val="24"/>
        </w:rPr>
        <w:t>名以上人员共同控制，且证券投资操作人员与资金、财务管理人员分离，相互制约，不得一人单独接触投资资产，对任何的投资资产的存入或取出，必须由相互制约的两人联名签字。</w:t>
      </w:r>
    </w:p>
    <w:p w14:paraId="1FE46F09">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公司购入的短期有价证券必须在购入的当日记入公司名下。</w:t>
      </w:r>
    </w:p>
    <w:p w14:paraId="2534EBBF">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公司财务部负责定期核对证券投资资金的使用及结存情况。应将收到的利息、股利及时入账。</w:t>
      </w:r>
    </w:p>
    <w:p w14:paraId="34B740AC">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公司对外长期投资按投资项目的性质分为新项目和已有项目增资。</w:t>
      </w:r>
    </w:p>
    <w:p w14:paraId="157184F6">
      <w:pPr>
        <w:keepNext w:val="0"/>
        <w:keepLines w:val="0"/>
        <w:pageBreakBefore w:val="0"/>
        <w:widowControl w:val="0"/>
        <w:numPr>
          <w:ilvl w:val="0"/>
          <w:numId w:val="6"/>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新项目是指投资项目经批准立项后，按批准的投资额进行的投资；</w:t>
      </w:r>
    </w:p>
    <w:p w14:paraId="0777891E">
      <w:pPr>
        <w:keepNext w:val="0"/>
        <w:keepLines w:val="0"/>
        <w:pageBreakBefore w:val="0"/>
        <w:widowControl w:val="0"/>
        <w:numPr>
          <w:ilvl w:val="0"/>
          <w:numId w:val="6"/>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已有项目增资是指原有的投资项目根据经营的需要，需在原批准投资额的基础上增加投资的活动。</w:t>
      </w:r>
    </w:p>
    <w:p w14:paraId="437F4785">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公司长期投资程序：</w:t>
      </w:r>
    </w:p>
    <w:p w14:paraId="7B9B4F2D">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公司有关归口管理部门协同财务部确定投资目的并对投资环境进行考察；</w:t>
      </w:r>
    </w:p>
    <w:p w14:paraId="6D89FB5C">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公司有关归口管理部门在充分调查研究的基础上编制投资意向书(立项报告)；</w:t>
      </w:r>
    </w:p>
    <w:p w14:paraId="6968AC21">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公司有关归口管理部门编制投资项目可行性研究报告上报财务部和总经理；</w:t>
      </w:r>
    </w:p>
    <w:p w14:paraId="2E5B17CC">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按本制度规定的程序办理报批手续；</w:t>
      </w:r>
    </w:p>
    <w:p w14:paraId="0A8444FC">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公司有关归口管理部门负责项目的实施运作及经营管理。</w:t>
      </w:r>
    </w:p>
    <w:p w14:paraId="7F5A35C3">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对外长期投资项目一经批准，一律不得随意增加投资，如确需增加投资，必须重报投资意向书和投资项目可行性研究报告。</w:t>
      </w:r>
    </w:p>
    <w:p w14:paraId="0DC306D7">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公司财务部负责协同被授权部门和人员，按长期投资合同或协议规定投入现金、实物或无形资产。投入实物必须办理实物交接手续，并经实物使用部门和管理部门同意。</w:t>
      </w:r>
    </w:p>
    <w:p w14:paraId="55702F6F">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对于重大投资项目可聘请专家或中介机构进行评审和可行性分析论证。</w:t>
      </w:r>
    </w:p>
    <w:p w14:paraId="15B610E5">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公司有关归口管理部门根据公司所确定的投资项目，相应编制实施投资建设开发计划，对项目实施进行指导、监督与控制，参与投资项目审计、终(中)止清算与交接工作，并进行投资评价与总结。</w:t>
      </w:r>
    </w:p>
    <w:p w14:paraId="3369C76D">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公司有关归口管理部门负责对投资项目实施运作情况实行全过程的监督、检查和评价。投资项目实行季报制，公司有关归口管理部门对投资项目的进度、投资预算的执行和使用、合作各方情况、经营状况、存在问题和建议等每季度汇制报表，及时向公司领导报告。项目在投资建设执行过程中，可根据实施情况的变化合理调整投资预算，投资预算的调整需经原投资审批机构批准。</w:t>
      </w:r>
    </w:p>
    <w:p w14:paraId="26D0047F">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公司</w:t>
      </w:r>
      <w:r>
        <w:rPr>
          <w:rFonts w:hint="eastAsia" w:ascii="宋体" w:hAnsi="宋体"/>
          <w:sz w:val="24"/>
          <w:szCs w:val="24"/>
          <w:lang w:val="en-US" w:eastAsia="zh-CN"/>
        </w:rPr>
        <w:t>审计委员会</w:t>
      </w:r>
      <w:r>
        <w:rPr>
          <w:rFonts w:hint="eastAsia" w:ascii="宋体" w:hAnsi="宋体"/>
          <w:sz w:val="24"/>
          <w:szCs w:val="24"/>
        </w:rPr>
        <w:t>、财务部应依据其职责对投资项目进行监督，对违规行为及时提出纠正意见，对重大问题提出专项报告，提请项目投资审批机构讨论处理。</w:t>
      </w:r>
    </w:p>
    <w:p w14:paraId="56458C37">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建立健全投资项目档案管理制度，自项目预选到项目竣工移交(含项目中止)的档案资料，由公司有关归口管理部门负责整理归档。</w:t>
      </w:r>
    </w:p>
    <w:p w14:paraId="784592A8">
      <w:pPr>
        <w:spacing w:before="156" w:beforeLines="50" w:line="360" w:lineRule="auto"/>
        <w:jc w:val="center"/>
        <w:rPr>
          <w:rFonts w:hint="eastAsia" w:ascii="宋体" w:hAnsi="宋体" w:eastAsia="宋体" w:cs="宋体"/>
          <w:b/>
          <w:bCs w:val="0"/>
          <w:sz w:val="24"/>
          <w:szCs w:val="24"/>
        </w:rPr>
      </w:pPr>
      <w:r>
        <w:rPr>
          <w:rFonts w:hint="eastAsia" w:ascii="宋体" w:hAnsi="宋体" w:eastAsia="宋体" w:cs="宋体"/>
          <w:b/>
          <w:bCs w:val="0"/>
          <w:sz w:val="24"/>
          <w:szCs w:val="24"/>
        </w:rPr>
        <w:t>第五章 对外投资的转让与收回</w:t>
      </w:r>
    </w:p>
    <w:p w14:paraId="79A24655">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ascii="宋体" w:hAnsi="宋体"/>
          <w:sz w:val="24"/>
          <w:szCs w:val="24"/>
        </w:rPr>
      </w:pPr>
      <w:r>
        <w:rPr>
          <w:rFonts w:hint="eastAsia" w:ascii="宋体" w:hAnsi="宋体"/>
          <w:sz w:val="24"/>
          <w:szCs w:val="24"/>
        </w:rPr>
        <w:t xml:space="preserve"> 出现或发生下列情况之一时，公司可以收回对外投资：</w:t>
      </w:r>
    </w:p>
    <w:p w14:paraId="124F76C7">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按照《公司章程》规定，该投资项目(企业)经营期满；</w:t>
      </w:r>
    </w:p>
    <w:p w14:paraId="06136E2F">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由于投资项目(企业)经营不善，无法偿还到期债务，依法实施破产；</w:t>
      </w:r>
    </w:p>
    <w:p w14:paraId="75F4D8B4">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由于发生不可抗力而使项目(企业)无法继续经营；</w:t>
      </w:r>
    </w:p>
    <w:p w14:paraId="46AC9AAE">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合同规定投资终止的其他情况出现或发生时。</w:t>
      </w:r>
    </w:p>
    <w:p w14:paraId="0C890015">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发生或出现下列情况之一时，公司可以转让对外投资：</w:t>
      </w:r>
    </w:p>
    <w:p w14:paraId="6E241D11">
      <w:pPr>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投资项目已经明显有悖于公司经营方向的；</w:t>
      </w:r>
    </w:p>
    <w:p w14:paraId="1C6B475A">
      <w:pPr>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投资项目出现连续亏损且扭亏无望没有市场前景的；</w:t>
      </w:r>
    </w:p>
    <w:p w14:paraId="0C47DD29">
      <w:pPr>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由于自身经营资金不足急需补充资金时；</w:t>
      </w:r>
    </w:p>
    <w:p w14:paraId="4C428177">
      <w:pPr>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公司认为有必要的其他情形。</w:t>
      </w:r>
    </w:p>
    <w:p w14:paraId="00581844">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投资转让应严格按照《公司法》《公司章程》</w:t>
      </w:r>
      <w:r>
        <w:rPr>
          <w:rFonts w:hint="eastAsia" w:ascii="宋体" w:hAnsi="宋体"/>
          <w:sz w:val="24"/>
          <w:szCs w:val="24"/>
          <w:lang w:val="en-US" w:eastAsia="zh-CN"/>
        </w:rPr>
        <w:t>等</w:t>
      </w:r>
      <w:r>
        <w:rPr>
          <w:rFonts w:hint="eastAsia" w:ascii="宋体" w:hAnsi="宋体"/>
          <w:sz w:val="24"/>
          <w:szCs w:val="24"/>
        </w:rPr>
        <w:t>有关投资转让规定办理。处置对外投资的行为必须符合国家有关法律法规</w:t>
      </w:r>
      <w:r>
        <w:rPr>
          <w:rFonts w:hint="eastAsia" w:ascii="宋体" w:hAnsi="宋体"/>
          <w:sz w:val="24"/>
          <w:szCs w:val="24"/>
          <w:lang w:eastAsia="zh-CN"/>
        </w:rPr>
        <w:t>、</w:t>
      </w:r>
      <w:r>
        <w:rPr>
          <w:rFonts w:hint="eastAsia" w:ascii="宋体" w:hAnsi="宋体"/>
          <w:sz w:val="24"/>
          <w:szCs w:val="24"/>
          <w:lang w:val="en-US" w:eastAsia="zh-CN"/>
        </w:rPr>
        <w:t>规范性文件</w:t>
      </w:r>
      <w:r>
        <w:rPr>
          <w:rFonts w:hint="eastAsia" w:ascii="宋体" w:hAnsi="宋体"/>
          <w:sz w:val="24"/>
          <w:szCs w:val="24"/>
        </w:rPr>
        <w:t>的相关规定。</w:t>
      </w:r>
    </w:p>
    <w:p w14:paraId="5B415BAB">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批准处置对外投资的程序与权限与批准实施对外投资的权限相同。</w:t>
      </w:r>
    </w:p>
    <w:p w14:paraId="5DB4B07E">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财务部负责做好投资收回和转让的资产评估工作，防止公司资产的流失。</w:t>
      </w:r>
    </w:p>
    <w:p w14:paraId="4EDF9F0E">
      <w:pPr>
        <w:spacing w:before="156" w:beforeLines="50" w:line="360" w:lineRule="auto"/>
        <w:jc w:val="center"/>
        <w:rPr>
          <w:rFonts w:hint="eastAsia" w:ascii="宋体" w:hAnsi="宋体" w:eastAsia="宋体" w:cs="宋体"/>
          <w:b/>
          <w:bCs w:val="0"/>
          <w:sz w:val="24"/>
          <w:szCs w:val="24"/>
        </w:rPr>
      </w:pPr>
      <w:r>
        <w:rPr>
          <w:rFonts w:hint="eastAsia" w:ascii="宋体" w:hAnsi="宋体" w:eastAsia="宋体" w:cs="宋体"/>
          <w:b/>
          <w:bCs w:val="0"/>
          <w:sz w:val="24"/>
          <w:szCs w:val="24"/>
        </w:rPr>
        <w:t>第六章 对外投资的人事管理</w:t>
      </w:r>
    </w:p>
    <w:p w14:paraId="6F8702DE">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ascii="宋体" w:hAnsi="宋体"/>
          <w:sz w:val="24"/>
          <w:szCs w:val="24"/>
        </w:rPr>
      </w:pPr>
      <w:r>
        <w:rPr>
          <w:rFonts w:hint="eastAsia" w:ascii="宋体" w:hAnsi="宋体"/>
          <w:sz w:val="24"/>
          <w:szCs w:val="24"/>
        </w:rPr>
        <w:t xml:space="preserve"> 公司对外投资组建合作、合资公司，应对新建公司派出经法定程序选举产生的董事，参与和监督新建公司的运营决策。</w:t>
      </w:r>
    </w:p>
    <w:p w14:paraId="7732EBB3">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对于对外投资组建的子公司，公司应派出经法定程序选举产生的董事长，并派出相应的经营管理人员(包括财务负责人)，对控股公司的运营、决策起重要作用。</w:t>
      </w:r>
    </w:p>
    <w:p w14:paraId="757CFC73">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对外投资派出人员的人选由公司总经理提出初步意见，由投资决策机构决定。</w:t>
      </w:r>
    </w:p>
    <w:p w14:paraId="7AF84B8B">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派出人员应按照《公司法》和被投资公司的《公司章程》的规定切实履行职责，在新建公司的经营管理活动中维护公司利益，实现公司投资的保值、增值。</w:t>
      </w:r>
    </w:p>
    <w:p w14:paraId="627AE60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sz w:val="24"/>
          <w:szCs w:val="24"/>
        </w:rPr>
      </w:pPr>
      <w:r>
        <w:rPr>
          <w:rFonts w:hint="eastAsia" w:ascii="宋体" w:hAnsi="宋体"/>
          <w:sz w:val="24"/>
          <w:szCs w:val="24"/>
        </w:rPr>
        <w:t>公司委派出任投资单位董事的有关人员，应通过参加董事会会议等形式，获取更多的投资单位的信息，应及时向公司汇报投资情况。派出人员每年应与公司签订责任书，接受公司下达的考核指标，并向公司提交年度述职报告，接受公司的检查。</w:t>
      </w:r>
    </w:p>
    <w:p w14:paraId="2EBDD152">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公司根据人力资源相关规定对派出的董事进行年度和任期考核，公司根据考核评价结果给予有关人员相应的奖励或处罚。</w:t>
      </w:r>
    </w:p>
    <w:p w14:paraId="025D87B2">
      <w:pPr>
        <w:spacing w:before="156" w:beforeLines="50" w:line="360" w:lineRule="auto"/>
        <w:jc w:val="center"/>
        <w:rPr>
          <w:rFonts w:hint="eastAsia" w:ascii="宋体" w:hAnsi="宋体" w:eastAsia="宋体" w:cs="宋体"/>
          <w:b/>
          <w:bCs w:val="0"/>
          <w:sz w:val="24"/>
          <w:szCs w:val="24"/>
        </w:rPr>
      </w:pPr>
      <w:r>
        <w:rPr>
          <w:rFonts w:hint="eastAsia" w:ascii="宋体" w:hAnsi="宋体" w:eastAsia="宋体" w:cs="宋体"/>
          <w:b/>
          <w:bCs w:val="0"/>
          <w:sz w:val="24"/>
          <w:szCs w:val="24"/>
        </w:rPr>
        <w:t>第七章 对外投资的财务管理及审计</w:t>
      </w:r>
    </w:p>
    <w:p w14:paraId="09D6282A">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ascii="宋体" w:hAnsi="宋体"/>
          <w:sz w:val="24"/>
          <w:szCs w:val="24"/>
        </w:rPr>
      </w:pPr>
      <w:r>
        <w:rPr>
          <w:rFonts w:hint="eastAsia" w:ascii="宋体" w:hAnsi="宋体"/>
          <w:sz w:val="24"/>
          <w:szCs w:val="24"/>
        </w:rPr>
        <w:t xml:space="preserve"> 公司财务部应对公司的对外投资活动进行全面完整的财务记录，进行详尽的会计核算，按每个投资项目分别建立明细账簿，详尽记录相关资料。会计核算和财务管理中所采用的会计政策及会计估计、变更等应遵循企业财务会计制度及其有关规定。</w:t>
      </w:r>
    </w:p>
    <w:p w14:paraId="788F95FA">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长期对外投资的财务管理由公司财务部负责，财务部根据分析和管理的需要，取得被投资单位的财务报告，以便对被投资单位的财务状况进行分析，维护公司的权益，确保公司利益不受损害。</w:t>
      </w:r>
    </w:p>
    <w:p w14:paraId="7E449329">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公司对子公司进行定期或专项审计。</w:t>
      </w:r>
    </w:p>
    <w:p w14:paraId="542F14C7">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公司子公司的会计核算方法和财务管理中所采用的会计政策及会计估计、变更等应遵循公司会计管理制度的有关规定。</w:t>
      </w:r>
    </w:p>
    <w:p w14:paraId="48391442">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公司子公司应每月向公司财务部报送财务会计报表，并按照公司编制合并报表的要求，及时报送会计报表。</w:t>
      </w:r>
    </w:p>
    <w:p w14:paraId="54BC5E49">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公司可向子公司委派财务总监，公司财务总监或派出财务总监对其任职公司财务状况的真实性、合法性进行监督。</w:t>
      </w:r>
    </w:p>
    <w:p w14:paraId="67E90D75">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对公司所有的投资资产，应由内部审计人员或不参与投资业务的其他人员进行定期盘点或与委托保管机构进行核对，检查其是否为公司所拥有，并将盘点记录与账面记录相互核对以确认账实的一致性。</w:t>
      </w:r>
    </w:p>
    <w:p w14:paraId="4B03CD00">
      <w:pPr>
        <w:spacing w:before="156" w:beforeLines="50" w:line="360" w:lineRule="auto"/>
        <w:jc w:val="center"/>
        <w:rPr>
          <w:rFonts w:hint="eastAsia" w:ascii="宋体" w:hAnsi="宋体" w:eastAsia="宋体" w:cs="宋体"/>
          <w:b/>
          <w:bCs w:val="0"/>
          <w:sz w:val="24"/>
          <w:szCs w:val="24"/>
        </w:rPr>
      </w:pPr>
      <w:r>
        <w:rPr>
          <w:rFonts w:hint="eastAsia" w:ascii="宋体" w:hAnsi="宋体" w:eastAsia="宋体" w:cs="宋体"/>
          <w:b/>
          <w:bCs w:val="0"/>
          <w:sz w:val="24"/>
          <w:szCs w:val="24"/>
        </w:rPr>
        <w:t>第八章 重大事项报告</w:t>
      </w:r>
    </w:p>
    <w:p w14:paraId="24EB960C">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子公司提供的信息应当真实、准确、完整并在第一时间报送公司。</w:t>
      </w:r>
    </w:p>
    <w:p w14:paraId="5B9C98C4">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hint="eastAsia" w:ascii="宋体" w:hAnsi="宋体"/>
          <w:sz w:val="24"/>
          <w:szCs w:val="24"/>
        </w:rPr>
      </w:pPr>
      <w:r>
        <w:rPr>
          <w:rFonts w:hint="eastAsia" w:ascii="宋体" w:hAnsi="宋体"/>
          <w:sz w:val="24"/>
          <w:szCs w:val="24"/>
        </w:rPr>
        <w:t xml:space="preserve"> 子公司对以下重大事项应当及时报告公司董事会和董事会秘书：</w:t>
      </w:r>
    </w:p>
    <w:p w14:paraId="192D7DF7">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收购、出售资产行为：</w:t>
      </w:r>
    </w:p>
    <w:p w14:paraId="37EF1141">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重大诉讼、仲裁事项；</w:t>
      </w:r>
    </w:p>
    <w:p w14:paraId="2CCF110D">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重要合同(借贷、委托经营、受托经营、委托理财、赠予、承包、租赁)等的订立、变更和终止；</w:t>
      </w:r>
    </w:p>
    <w:p w14:paraId="5EFD524E">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大额银行退票；</w:t>
      </w:r>
    </w:p>
    <w:p w14:paraId="1FE4A6AB">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重大经营性或非经营性亏损；</w:t>
      </w:r>
    </w:p>
    <w:p w14:paraId="5110DCEA">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遭受重大损失：</w:t>
      </w:r>
    </w:p>
    <w:p w14:paraId="3E1B1517">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重大行政处罚；</w:t>
      </w:r>
    </w:p>
    <w:p w14:paraId="11E606E7">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firstLine="420" w:firstLineChars="0"/>
        <w:textAlignment w:val="auto"/>
        <w:rPr>
          <w:rFonts w:hint="eastAsia" w:ascii="宋体" w:hAnsi="宋体"/>
          <w:sz w:val="24"/>
          <w:szCs w:val="24"/>
        </w:rPr>
      </w:pPr>
      <w:r>
        <w:rPr>
          <w:rFonts w:hint="eastAsia" w:ascii="宋体" w:hAnsi="宋体"/>
          <w:sz w:val="24"/>
          <w:szCs w:val="24"/>
        </w:rPr>
        <w:t>其他重大事项。</w:t>
      </w:r>
    </w:p>
    <w:p w14:paraId="6FE97363">
      <w:pPr>
        <w:spacing w:before="156" w:beforeLines="50" w:line="360" w:lineRule="auto"/>
        <w:jc w:val="center"/>
        <w:rPr>
          <w:rFonts w:hint="eastAsia" w:ascii="宋体" w:hAnsi="宋体" w:eastAsia="宋体" w:cs="宋体"/>
          <w:b/>
          <w:bCs w:val="0"/>
          <w:sz w:val="24"/>
          <w:szCs w:val="24"/>
        </w:rPr>
      </w:pPr>
      <w:r>
        <w:rPr>
          <w:rFonts w:hint="eastAsia" w:ascii="宋体" w:hAnsi="宋体" w:eastAsia="宋体" w:cs="宋体"/>
          <w:b/>
          <w:bCs w:val="0"/>
          <w:sz w:val="24"/>
          <w:szCs w:val="24"/>
        </w:rPr>
        <w:t>第九章 附则</w:t>
      </w:r>
    </w:p>
    <w:p w14:paraId="0D9AAE01">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textAlignment w:val="auto"/>
        <w:rPr>
          <w:rFonts w:ascii="宋体" w:hAnsi="宋体"/>
          <w:sz w:val="24"/>
          <w:szCs w:val="24"/>
        </w:rPr>
      </w:pPr>
      <w:r>
        <w:rPr>
          <w:rFonts w:hint="eastAsia" w:ascii="宋体" w:hAnsi="宋体"/>
          <w:sz w:val="24"/>
          <w:szCs w:val="24"/>
        </w:rPr>
        <w:t xml:space="preserve"> 本制度未尽事宜，按国家有关法律法规</w:t>
      </w:r>
      <w:r>
        <w:rPr>
          <w:rFonts w:hint="eastAsia" w:ascii="宋体" w:hAnsi="宋体"/>
          <w:sz w:val="24"/>
          <w:szCs w:val="24"/>
          <w:lang w:eastAsia="zh-CN"/>
        </w:rPr>
        <w:t>、</w:t>
      </w:r>
      <w:r>
        <w:rPr>
          <w:rFonts w:hint="eastAsia" w:ascii="宋体" w:hAnsi="宋体"/>
          <w:sz w:val="24"/>
          <w:szCs w:val="24"/>
          <w:lang w:val="en-US" w:eastAsia="zh-CN"/>
        </w:rPr>
        <w:t>规范性文件</w:t>
      </w:r>
      <w:r>
        <w:rPr>
          <w:rFonts w:hint="eastAsia" w:ascii="宋体" w:hAnsi="宋体"/>
          <w:sz w:val="24"/>
          <w:szCs w:val="24"/>
        </w:rPr>
        <w:t>和《公司章程》</w:t>
      </w:r>
      <w:r>
        <w:rPr>
          <w:rFonts w:hint="eastAsia" w:ascii="宋体" w:hAnsi="宋体"/>
          <w:sz w:val="24"/>
          <w:szCs w:val="24"/>
          <w:lang w:val="en-US" w:eastAsia="zh-CN"/>
        </w:rPr>
        <w:t>等有关</w:t>
      </w:r>
      <w:r>
        <w:rPr>
          <w:rFonts w:hint="eastAsia" w:ascii="宋体" w:hAnsi="宋体"/>
          <w:sz w:val="24"/>
          <w:szCs w:val="24"/>
        </w:rPr>
        <w:t>规定执行。</w:t>
      </w:r>
    </w:p>
    <w:p w14:paraId="2C8B1A9C">
      <w:pPr>
        <w:keepNext w:val="0"/>
        <w:keepLines w:val="0"/>
        <w:pageBreakBefore w:val="0"/>
        <w:widowControl w:val="0"/>
        <w:numPr>
          <w:ilvl w:val="0"/>
          <w:numId w:val="1"/>
        </w:numPr>
        <w:kinsoku/>
        <w:wordWrap/>
        <w:overflowPunct/>
        <w:topLinePunct w:val="0"/>
        <w:autoSpaceDE/>
        <w:autoSpaceDN/>
        <w:bidi w:val="0"/>
        <w:adjustRightInd/>
        <w:snapToGrid/>
        <w:spacing w:before="156" w:beforeLines="50" w:line="360" w:lineRule="auto"/>
        <w:ind w:firstLine="480" w:firstLineChars="200"/>
        <w:jc w:val="left"/>
        <w:textAlignment w:val="auto"/>
        <w:rPr>
          <w:rFonts w:hint="eastAsia" w:ascii="宋体" w:hAnsi="宋体"/>
          <w:sz w:val="24"/>
          <w:szCs w:val="24"/>
        </w:rPr>
      </w:pPr>
      <w:r>
        <w:rPr>
          <w:rFonts w:hint="eastAsia" w:ascii="宋体" w:hAnsi="宋体"/>
          <w:sz w:val="24"/>
          <w:szCs w:val="24"/>
        </w:rPr>
        <w:t xml:space="preserve"> 本制度由董事会制定，</w:t>
      </w:r>
      <w:r>
        <w:rPr>
          <w:rFonts w:hint="eastAsia" w:ascii="宋体" w:hAnsi="宋体"/>
          <w:sz w:val="24"/>
          <w:szCs w:val="24"/>
          <w:lang w:val="en-US" w:eastAsia="zh-CN"/>
        </w:rPr>
        <w:t>经</w:t>
      </w:r>
      <w:r>
        <w:rPr>
          <w:rFonts w:hint="eastAsia" w:ascii="宋体" w:hAnsi="宋体"/>
          <w:sz w:val="24"/>
          <w:szCs w:val="24"/>
          <w:lang w:eastAsia="zh-CN"/>
        </w:rPr>
        <w:t>股东会</w:t>
      </w:r>
      <w:r>
        <w:rPr>
          <w:rFonts w:hint="eastAsia" w:ascii="宋体" w:hAnsi="宋体"/>
          <w:sz w:val="24"/>
          <w:szCs w:val="24"/>
        </w:rPr>
        <w:t>审议通过</w:t>
      </w:r>
      <w:r>
        <w:rPr>
          <w:rFonts w:hint="eastAsia" w:ascii="宋体" w:hAnsi="宋体"/>
          <w:sz w:val="24"/>
          <w:szCs w:val="24"/>
          <w:lang w:val="en-US" w:eastAsia="zh-CN"/>
        </w:rPr>
        <w:t>后生效</w:t>
      </w:r>
      <w:r>
        <w:rPr>
          <w:rFonts w:hint="eastAsia" w:ascii="宋体" w:hAnsi="宋体"/>
          <w:sz w:val="24"/>
          <w:szCs w:val="24"/>
        </w:rPr>
        <w:t>。</w:t>
      </w:r>
    </w:p>
    <w:sectPr>
      <w:footerReference r:id="rId3" w:type="default"/>
      <w:footerReference r:id="rId4"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875249">
    <w:pPr>
      <w:pStyle w:val="3"/>
      <w:framePr w:wrap="around" w:vAnchor="text" w:hAnchor="margin" w:xAlign="center" w:y="1"/>
      <w:rPr>
        <w:rStyle w:val="8"/>
        <w:rFonts w:ascii="Times New Roman" w:hAnsi="Times New Roman"/>
      </w:rPr>
    </w:pPr>
    <w:r>
      <w:rPr>
        <w:rStyle w:val="8"/>
        <w:rFonts w:ascii="Times New Roman" w:hAnsi="Times New Roman"/>
      </w:rPr>
      <w:fldChar w:fldCharType="begin"/>
    </w:r>
    <w:r>
      <w:rPr>
        <w:rStyle w:val="8"/>
        <w:rFonts w:ascii="Times New Roman" w:hAnsi="Times New Roman"/>
      </w:rPr>
      <w:instrText xml:space="preserve">PAGE  </w:instrText>
    </w:r>
    <w:r>
      <w:rPr>
        <w:rStyle w:val="8"/>
        <w:rFonts w:ascii="Times New Roman" w:hAnsi="Times New Roman"/>
      </w:rPr>
      <w:fldChar w:fldCharType="separate"/>
    </w:r>
    <w:r>
      <w:rPr>
        <w:rStyle w:val="8"/>
        <w:rFonts w:ascii="Times New Roman" w:hAnsi="Times New Roman"/>
      </w:rPr>
      <w:t>7</w:t>
    </w:r>
    <w:r>
      <w:rPr>
        <w:rStyle w:val="8"/>
        <w:rFonts w:ascii="Times New Roman" w:hAnsi="Times New Roman"/>
      </w:rPr>
      <w:fldChar w:fldCharType="end"/>
    </w:r>
  </w:p>
  <w:p w14:paraId="3E984713">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A2DF7D">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14:paraId="73F438E2">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DC0B1C"/>
    <w:multiLevelType w:val="singleLevel"/>
    <w:tmpl w:val="A1DC0B1C"/>
    <w:lvl w:ilvl="0" w:tentative="0">
      <w:start w:val="1"/>
      <w:numFmt w:val="chineseCounting"/>
      <w:suff w:val="nothing"/>
      <w:lvlText w:val="（%1）"/>
      <w:lvlJc w:val="left"/>
      <w:pPr>
        <w:ind w:left="0" w:firstLine="420"/>
      </w:pPr>
      <w:rPr>
        <w:rFonts w:hint="eastAsia"/>
      </w:rPr>
    </w:lvl>
  </w:abstractNum>
  <w:abstractNum w:abstractNumId="1">
    <w:nsid w:val="A9DB2DF1"/>
    <w:multiLevelType w:val="singleLevel"/>
    <w:tmpl w:val="A9DB2DF1"/>
    <w:lvl w:ilvl="0" w:tentative="0">
      <w:start w:val="1"/>
      <w:numFmt w:val="chineseCounting"/>
      <w:suff w:val="nothing"/>
      <w:lvlText w:val="（%1）"/>
      <w:lvlJc w:val="left"/>
      <w:pPr>
        <w:ind w:left="0" w:firstLine="420"/>
      </w:pPr>
      <w:rPr>
        <w:rFonts w:hint="eastAsia"/>
      </w:rPr>
    </w:lvl>
  </w:abstractNum>
  <w:abstractNum w:abstractNumId="2">
    <w:nsid w:val="C2746488"/>
    <w:multiLevelType w:val="singleLevel"/>
    <w:tmpl w:val="C2746488"/>
    <w:lvl w:ilvl="0" w:tentative="0">
      <w:start w:val="1"/>
      <w:numFmt w:val="chineseCounting"/>
      <w:suff w:val="nothing"/>
      <w:lvlText w:val="（%1）"/>
      <w:lvlJc w:val="left"/>
      <w:pPr>
        <w:ind w:left="0" w:firstLine="420"/>
      </w:pPr>
      <w:rPr>
        <w:rFonts w:hint="eastAsia"/>
      </w:rPr>
    </w:lvl>
  </w:abstractNum>
  <w:abstractNum w:abstractNumId="3">
    <w:nsid w:val="CCD533DE"/>
    <w:multiLevelType w:val="singleLevel"/>
    <w:tmpl w:val="CCD533DE"/>
    <w:lvl w:ilvl="0" w:tentative="0">
      <w:start w:val="1"/>
      <w:numFmt w:val="chineseCounting"/>
      <w:suff w:val="nothing"/>
      <w:lvlText w:val="（%1）"/>
      <w:lvlJc w:val="left"/>
      <w:pPr>
        <w:ind w:left="0" w:firstLine="420"/>
      </w:pPr>
      <w:rPr>
        <w:rFonts w:hint="eastAsia"/>
      </w:rPr>
    </w:lvl>
  </w:abstractNum>
  <w:abstractNum w:abstractNumId="4">
    <w:nsid w:val="CDCEB620"/>
    <w:multiLevelType w:val="singleLevel"/>
    <w:tmpl w:val="CDCEB620"/>
    <w:lvl w:ilvl="0" w:tentative="0">
      <w:start w:val="1"/>
      <w:numFmt w:val="chineseCounting"/>
      <w:suff w:val="space"/>
      <w:lvlText w:val="第%1条"/>
      <w:lvlJc w:val="left"/>
      <w:pPr>
        <w:tabs>
          <w:tab w:val="left" w:pos="0"/>
        </w:tabs>
      </w:pPr>
      <w:rPr>
        <w:rFonts w:hint="eastAsia"/>
        <w:b/>
        <w:bCs/>
        <w:strike w:val="0"/>
        <w:dstrike w:val="0"/>
      </w:rPr>
    </w:lvl>
  </w:abstractNum>
  <w:abstractNum w:abstractNumId="5">
    <w:nsid w:val="D8150F04"/>
    <w:multiLevelType w:val="singleLevel"/>
    <w:tmpl w:val="D8150F04"/>
    <w:lvl w:ilvl="0" w:tentative="0">
      <w:start w:val="1"/>
      <w:numFmt w:val="chineseCounting"/>
      <w:suff w:val="nothing"/>
      <w:lvlText w:val="（%1）"/>
      <w:lvlJc w:val="left"/>
      <w:rPr>
        <w:rFonts w:hint="eastAsia"/>
      </w:rPr>
    </w:lvl>
  </w:abstractNum>
  <w:abstractNum w:abstractNumId="6">
    <w:nsid w:val="EA62D261"/>
    <w:multiLevelType w:val="singleLevel"/>
    <w:tmpl w:val="EA62D261"/>
    <w:lvl w:ilvl="0" w:tentative="0">
      <w:start w:val="1"/>
      <w:numFmt w:val="chineseCounting"/>
      <w:suff w:val="nothing"/>
      <w:lvlText w:val="（%1）"/>
      <w:lvlJc w:val="left"/>
      <w:pPr>
        <w:ind w:left="0" w:firstLine="420"/>
      </w:pPr>
      <w:rPr>
        <w:rFonts w:hint="eastAsia"/>
      </w:rPr>
    </w:lvl>
  </w:abstractNum>
  <w:abstractNum w:abstractNumId="7">
    <w:nsid w:val="1AA3A237"/>
    <w:multiLevelType w:val="singleLevel"/>
    <w:tmpl w:val="1AA3A237"/>
    <w:lvl w:ilvl="0" w:tentative="0">
      <w:start w:val="1"/>
      <w:numFmt w:val="chineseCounting"/>
      <w:suff w:val="nothing"/>
      <w:lvlText w:val="（%1）"/>
      <w:lvlJc w:val="left"/>
      <w:pPr>
        <w:ind w:left="0" w:firstLine="420"/>
      </w:pPr>
      <w:rPr>
        <w:rFonts w:hint="eastAsia"/>
      </w:rPr>
    </w:lvl>
  </w:abstractNum>
  <w:abstractNum w:abstractNumId="8">
    <w:nsid w:val="59F38FF1"/>
    <w:multiLevelType w:val="singleLevel"/>
    <w:tmpl w:val="59F38FF1"/>
    <w:lvl w:ilvl="0" w:tentative="0">
      <w:start w:val="1"/>
      <w:numFmt w:val="chineseCounting"/>
      <w:suff w:val="nothing"/>
      <w:lvlText w:val="（%1）"/>
      <w:lvlJc w:val="left"/>
      <w:pPr>
        <w:ind w:left="0" w:firstLine="420"/>
      </w:pPr>
      <w:rPr>
        <w:rFonts w:hint="eastAsia"/>
      </w:rPr>
    </w:lvl>
  </w:abstractNum>
  <w:abstractNum w:abstractNumId="9">
    <w:nsid w:val="770913C7"/>
    <w:multiLevelType w:val="singleLevel"/>
    <w:tmpl w:val="770913C7"/>
    <w:lvl w:ilvl="0" w:tentative="0">
      <w:start w:val="1"/>
      <w:numFmt w:val="chineseCounting"/>
      <w:suff w:val="nothing"/>
      <w:lvlText w:val="（%1）"/>
      <w:lvlJc w:val="left"/>
      <w:pPr>
        <w:ind w:left="0" w:firstLine="420"/>
      </w:pPr>
      <w:rPr>
        <w:rFonts w:hint="eastAsia"/>
      </w:rPr>
    </w:lvl>
  </w:abstractNum>
  <w:num w:numId="1">
    <w:abstractNumId w:val="4"/>
  </w:num>
  <w:num w:numId="2">
    <w:abstractNumId w:val="2"/>
  </w:num>
  <w:num w:numId="3">
    <w:abstractNumId w:val="9"/>
  </w:num>
  <w:num w:numId="4">
    <w:abstractNumId w:val="5"/>
  </w:num>
  <w:num w:numId="5">
    <w:abstractNumId w:val="0"/>
  </w:num>
  <w:num w:numId="6">
    <w:abstractNumId w:val="7"/>
  </w:num>
  <w:num w:numId="7">
    <w:abstractNumId w:val="8"/>
  </w:num>
  <w:num w:numId="8">
    <w:abstractNumId w:val="1"/>
  </w:num>
  <w:num w:numId="9">
    <w:abstractNumId w:val="3"/>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WRlOTk1ZDM4MjkzZjgxMjZiN2M3ZjNmNDQ5NGIzZGYifQ=="/>
  </w:docVars>
  <w:rsids>
    <w:rsidRoot w:val="007E32E5"/>
    <w:rsid w:val="00004C21"/>
    <w:rsid w:val="00131323"/>
    <w:rsid w:val="00187801"/>
    <w:rsid w:val="00242EA6"/>
    <w:rsid w:val="0024579E"/>
    <w:rsid w:val="002E057A"/>
    <w:rsid w:val="0031494B"/>
    <w:rsid w:val="003473DE"/>
    <w:rsid w:val="00471D34"/>
    <w:rsid w:val="005046B1"/>
    <w:rsid w:val="00536BB3"/>
    <w:rsid w:val="006432C1"/>
    <w:rsid w:val="007D536F"/>
    <w:rsid w:val="007E32E5"/>
    <w:rsid w:val="008215FB"/>
    <w:rsid w:val="00913A03"/>
    <w:rsid w:val="0092149E"/>
    <w:rsid w:val="00997981"/>
    <w:rsid w:val="009A5885"/>
    <w:rsid w:val="00A05FD7"/>
    <w:rsid w:val="00A6299A"/>
    <w:rsid w:val="00A978FA"/>
    <w:rsid w:val="00B2743C"/>
    <w:rsid w:val="00B632FA"/>
    <w:rsid w:val="00B7548B"/>
    <w:rsid w:val="00CD2871"/>
    <w:rsid w:val="00D24F93"/>
    <w:rsid w:val="00D80FB1"/>
    <w:rsid w:val="00E702FB"/>
    <w:rsid w:val="00F960BB"/>
    <w:rsid w:val="03B4152C"/>
    <w:rsid w:val="0B381EF4"/>
    <w:rsid w:val="151E21E1"/>
    <w:rsid w:val="15393438"/>
    <w:rsid w:val="1654561F"/>
    <w:rsid w:val="188A4EC0"/>
    <w:rsid w:val="19004955"/>
    <w:rsid w:val="1B9B7F70"/>
    <w:rsid w:val="21693381"/>
    <w:rsid w:val="22807976"/>
    <w:rsid w:val="235C17FC"/>
    <w:rsid w:val="2417515D"/>
    <w:rsid w:val="25BA1A2C"/>
    <w:rsid w:val="29727A36"/>
    <w:rsid w:val="2D9419F3"/>
    <w:rsid w:val="30507322"/>
    <w:rsid w:val="33BF4E7F"/>
    <w:rsid w:val="400F49E7"/>
    <w:rsid w:val="41175C85"/>
    <w:rsid w:val="433B1FA6"/>
    <w:rsid w:val="43944BD2"/>
    <w:rsid w:val="43975E08"/>
    <w:rsid w:val="493E556D"/>
    <w:rsid w:val="4D2D5E75"/>
    <w:rsid w:val="4E5D0FF4"/>
    <w:rsid w:val="4FA02717"/>
    <w:rsid w:val="594A2AEB"/>
    <w:rsid w:val="5C130281"/>
    <w:rsid w:val="5C1427B9"/>
    <w:rsid w:val="5CC60CF1"/>
    <w:rsid w:val="64093165"/>
    <w:rsid w:val="7216136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annotation text"/>
    <w:basedOn w:val="1"/>
    <w:link w:val="10"/>
    <w:unhideWhenUsed/>
    <w:qFormat/>
    <w:uiPriority w:val="99"/>
    <w:pPr>
      <w:jc w:val="left"/>
    </w:pPr>
  </w:style>
  <w:style w:type="paragraph" w:styleId="3">
    <w:name w:val="footer"/>
    <w:basedOn w:val="1"/>
    <w:link w:val="11"/>
    <w:unhideWhenUsed/>
    <w:qFormat/>
    <w:uiPriority w:val="0"/>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annotation subject"/>
    <w:basedOn w:val="2"/>
    <w:next w:val="2"/>
    <w:link w:val="13"/>
    <w:unhideWhenUsed/>
    <w:qFormat/>
    <w:uiPriority w:val="99"/>
    <w:rPr>
      <w:b/>
      <w:bCs/>
    </w:rPr>
  </w:style>
  <w:style w:type="character" w:styleId="8">
    <w:name w:val="page number"/>
    <w:qFormat/>
    <w:uiPriority w:val="0"/>
  </w:style>
  <w:style w:type="character" w:styleId="9">
    <w:name w:val="annotation reference"/>
    <w:unhideWhenUsed/>
    <w:qFormat/>
    <w:uiPriority w:val="99"/>
    <w:rPr>
      <w:sz w:val="21"/>
      <w:szCs w:val="21"/>
    </w:rPr>
  </w:style>
  <w:style w:type="character" w:customStyle="1" w:styleId="10">
    <w:name w:val="批注文字 字符"/>
    <w:link w:val="2"/>
    <w:qFormat/>
    <w:uiPriority w:val="99"/>
    <w:rPr>
      <w:kern w:val="2"/>
      <w:sz w:val="21"/>
      <w:szCs w:val="22"/>
    </w:rPr>
  </w:style>
  <w:style w:type="character" w:customStyle="1" w:styleId="11">
    <w:name w:val="页脚 字符"/>
    <w:link w:val="3"/>
    <w:qFormat/>
    <w:uiPriority w:val="0"/>
    <w:rPr>
      <w:sz w:val="18"/>
      <w:szCs w:val="18"/>
    </w:rPr>
  </w:style>
  <w:style w:type="character" w:customStyle="1" w:styleId="12">
    <w:name w:val="页眉 字符"/>
    <w:link w:val="4"/>
    <w:semiHidden/>
    <w:qFormat/>
    <w:uiPriority w:val="99"/>
    <w:rPr>
      <w:sz w:val="18"/>
      <w:szCs w:val="18"/>
    </w:rPr>
  </w:style>
  <w:style w:type="character" w:customStyle="1" w:styleId="13">
    <w:name w:val="批注主题 字符"/>
    <w:link w:val="5"/>
    <w:semiHidden/>
    <w:qFormat/>
    <w:uiPriority w:val="99"/>
    <w:rPr>
      <w:b/>
      <w:bCs/>
      <w:kern w:val="2"/>
      <w:sz w:val="21"/>
      <w:szCs w:val="22"/>
    </w:rPr>
  </w:style>
  <w:style w:type="paragraph" w:customStyle="1" w:styleId="14">
    <w:name w:val="_Style 13"/>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grandall</Company>
  <Pages>9</Pages>
  <Words>4948</Words>
  <Characters>4993</Characters>
  <Lines>38</Lines>
  <Paragraphs>10</Paragraphs>
  <TotalTime>13</TotalTime>
  <ScaleCrop>false</ScaleCrop>
  <LinksUpToDate>false</LinksUpToDate>
  <CharactersWithSpaces>5054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2009-04-01T14:43:00Z</dcterms:created>
  <dc:creator>wzh</dc:creator>
  <cp:lastModifiedBy>李群</cp:lastModifiedBy>
  <cp:lastPrinted>2025-05-29T07:16:00Z</cp:lastPrinted>
  <dcterms:modified xsi:type="dcterms:W3CDTF">2025-06-09T01:40:51Z</dcterms:modified>
  <dc:title>广东冠昊生物科技股份有限公司</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4CEAA85A404143BD8C9167ABD7A502A6_13</vt:lpwstr>
  </property>
  <property fmtid="{D5CDD505-2E9C-101B-9397-08002B2CF9AE}" pid="4" name="KSOTemplateDocerSaveRecord">
    <vt:lpwstr>eyJoZGlkIjoiYWRlOTk1ZDM4MjkzZjgxMjZiN2M3ZjNmNDQ5NGIzZGYiLCJ1c2VySWQiOiIzNDI3ODI2OTEifQ==</vt:lpwstr>
  </property>
</Properties>
</file>