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9EDEEC2">
      <w:pPr>
        <w:tabs>
          <w:tab w:val="left" w:pos="195"/>
        </w:tabs>
        <w:spacing w:line="500" w:lineRule="exact"/>
        <w:jc w:val="center"/>
        <w:rPr>
          <w:rFonts w:hint="default" w:eastAsia="宋体"/>
          <w:bCs/>
          <w:sz w:val="24"/>
          <w:highlight w:val="none"/>
          <w:lang w:val="en-US" w:eastAsia="zh-CN"/>
        </w:rPr>
      </w:pPr>
      <w:bookmarkStart w:id="0" w:name="_Hlk282766308"/>
      <w:r>
        <w:rPr>
          <w:kern w:val="0"/>
          <w:sz w:val="24"/>
          <w:highlight w:val="none"/>
        </w:rPr>
        <w:t>证券代码：300238         证券简称：冠昊生物        公告编号：</w:t>
      </w:r>
      <w:r>
        <w:rPr>
          <w:rFonts w:hint="eastAsia"/>
          <w:kern w:val="0"/>
          <w:sz w:val="24"/>
          <w:highlight w:val="none"/>
          <w:lang w:eastAsia="zh-CN"/>
        </w:rPr>
        <w:t>2025</w:t>
      </w:r>
      <w:r>
        <w:rPr>
          <w:rFonts w:hint="eastAsia"/>
          <w:kern w:val="0"/>
          <w:sz w:val="24"/>
          <w:highlight w:val="none"/>
        </w:rPr>
        <w:t>-0</w:t>
      </w:r>
      <w:r>
        <w:rPr>
          <w:rFonts w:hint="eastAsia"/>
          <w:kern w:val="0"/>
          <w:sz w:val="24"/>
          <w:highlight w:val="none"/>
          <w:lang w:val="en-US" w:eastAsia="zh-CN"/>
        </w:rPr>
        <w:t>42</w:t>
      </w:r>
    </w:p>
    <w:p w14:paraId="635B758D">
      <w:pPr>
        <w:tabs>
          <w:tab w:val="left" w:pos="195"/>
        </w:tabs>
        <w:spacing w:before="468" w:beforeLines="150" w:line="500" w:lineRule="exact"/>
        <w:jc w:val="center"/>
        <w:rPr>
          <w:rFonts w:ascii="黑体" w:hAnsi="黑体" w:eastAsia="黑体"/>
          <w:bCs/>
          <w:sz w:val="30"/>
          <w:szCs w:val="30"/>
          <w:highlight w:val="none"/>
        </w:rPr>
      </w:pPr>
      <w:r>
        <w:rPr>
          <w:rFonts w:hint="eastAsia" w:ascii="黑体" w:hAnsi="黑体" w:eastAsia="黑体"/>
          <w:bCs/>
          <w:sz w:val="30"/>
          <w:szCs w:val="30"/>
          <w:highlight w:val="none"/>
        </w:rPr>
        <w:t>冠昊生物科技股份有限公司</w:t>
      </w:r>
      <w:bookmarkEnd w:id="0"/>
    </w:p>
    <w:p w14:paraId="338531A8">
      <w:pPr>
        <w:tabs>
          <w:tab w:val="left" w:pos="195"/>
        </w:tabs>
        <w:spacing w:before="156" w:beforeLines="50" w:after="468" w:afterLines="150" w:line="500" w:lineRule="exact"/>
        <w:jc w:val="center"/>
        <w:rPr>
          <w:rFonts w:hint="eastAsia" w:ascii="黑体" w:hAnsi="黑体" w:eastAsia="黑体"/>
          <w:bCs/>
          <w:sz w:val="30"/>
          <w:szCs w:val="30"/>
          <w:highlight w:val="none"/>
          <w:lang w:eastAsia="zh-CN"/>
        </w:rPr>
      </w:pPr>
      <w:r>
        <w:rPr>
          <w:rFonts w:hint="eastAsia" w:ascii="黑体" w:hAnsi="黑体" w:eastAsia="黑体"/>
          <w:bCs/>
          <w:sz w:val="30"/>
          <w:szCs w:val="30"/>
          <w:highlight w:val="none"/>
        </w:rPr>
        <w:t>关于召开</w:t>
      </w:r>
      <w:r>
        <w:rPr>
          <w:rFonts w:hint="eastAsia" w:eastAsia="黑体"/>
          <w:bCs/>
          <w:sz w:val="30"/>
          <w:szCs w:val="30"/>
          <w:highlight w:val="none"/>
          <w:lang w:eastAsia="zh-CN"/>
        </w:rPr>
        <w:t>2025年第二次临时股东大会</w:t>
      </w:r>
      <w:r>
        <w:rPr>
          <w:rFonts w:hint="eastAsia" w:ascii="黑体" w:hAnsi="黑体" w:eastAsia="黑体"/>
          <w:bCs/>
          <w:sz w:val="30"/>
          <w:szCs w:val="30"/>
          <w:highlight w:val="none"/>
        </w:rPr>
        <w:t>的</w:t>
      </w:r>
      <w:r>
        <w:rPr>
          <w:rFonts w:hint="eastAsia" w:ascii="黑体" w:hAnsi="黑体" w:eastAsia="黑体"/>
          <w:bCs/>
          <w:sz w:val="30"/>
          <w:szCs w:val="30"/>
          <w:highlight w:val="none"/>
          <w:lang w:val="en-US" w:eastAsia="zh-CN"/>
        </w:rPr>
        <w:t>提示性公告</w:t>
      </w: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0"/>
      </w:tblGrid>
      <w:tr w14:paraId="2FBC1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8460" w:type="dxa"/>
          </w:tcPr>
          <w:p w14:paraId="4D8EB7DD">
            <w:pPr>
              <w:autoSpaceDE w:val="0"/>
              <w:autoSpaceDN w:val="0"/>
              <w:adjustRightInd w:val="0"/>
              <w:spacing w:line="500" w:lineRule="exact"/>
              <w:ind w:firstLine="480" w:firstLineChars="200"/>
              <w:jc w:val="left"/>
              <w:rPr>
                <w:rFonts w:ascii="宋体" w:cs="宋体"/>
                <w:kern w:val="0"/>
                <w:sz w:val="24"/>
                <w:highlight w:val="none"/>
              </w:rPr>
            </w:pPr>
            <w:r>
              <w:rPr>
                <w:rFonts w:hint="eastAsia" w:ascii="宋体" w:cs="宋体"/>
                <w:kern w:val="0"/>
                <w:sz w:val="24"/>
                <w:highlight w:val="none"/>
              </w:rPr>
              <w:t>本公司及董事会全体人员保证信息披露的内容真实、准确和完整，没有虚假记载、误导性陈述或者重大遗漏。</w:t>
            </w:r>
          </w:p>
        </w:tc>
      </w:tr>
    </w:tbl>
    <w:p w14:paraId="7DC3462B">
      <w:pPr>
        <w:spacing w:before="156" w:beforeLines="50" w:line="500" w:lineRule="exact"/>
        <w:ind w:firstLine="482"/>
        <w:rPr>
          <w:sz w:val="24"/>
          <w:szCs w:val="24"/>
          <w:highlight w:val="none"/>
        </w:rPr>
      </w:pPr>
      <w:bookmarkStart w:id="1" w:name="_Toc361846134"/>
      <w:bookmarkStart w:id="2" w:name="_Toc361768042"/>
      <w:bookmarkStart w:id="3" w:name="_Toc361845993"/>
      <w:r>
        <w:rPr>
          <w:rFonts w:hint="eastAsia" w:ascii="宋体" w:hAnsi="宋体"/>
          <w:sz w:val="24"/>
          <w:highlight w:val="none"/>
        </w:rPr>
        <w:t>冠昊生物科技股份有限公司(以下简称“公司”)于</w:t>
      </w:r>
      <w:r>
        <w:rPr>
          <w:rFonts w:hint="default" w:ascii="Times New Roman" w:hAnsi="Times New Roman" w:cs="Times New Roman"/>
          <w:sz w:val="24"/>
          <w:highlight w:val="none"/>
        </w:rPr>
        <w:t>202</w:t>
      </w:r>
      <w:r>
        <w:rPr>
          <w:rFonts w:hint="eastAsia" w:cs="Times New Roman"/>
          <w:sz w:val="24"/>
          <w:highlight w:val="none"/>
          <w:lang w:val="en-US" w:eastAsia="zh-CN"/>
        </w:rPr>
        <w:t>5</w:t>
      </w:r>
      <w:r>
        <w:rPr>
          <w:rFonts w:hint="default" w:ascii="Times New Roman" w:hAnsi="Times New Roman" w:cs="Times New Roman"/>
          <w:sz w:val="24"/>
          <w:highlight w:val="none"/>
        </w:rPr>
        <w:t>年</w:t>
      </w:r>
      <w:r>
        <w:rPr>
          <w:rFonts w:hint="eastAsia" w:cs="Times New Roman"/>
          <w:sz w:val="24"/>
          <w:highlight w:val="none"/>
          <w:lang w:val="en-US" w:eastAsia="zh-CN"/>
        </w:rPr>
        <w:t>6</w:t>
      </w:r>
      <w:r>
        <w:rPr>
          <w:rFonts w:hint="default" w:ascii="Times New Roman" w:hAnsi="Times New Roman" w:cs="Times New Roman"/>
          <w:sz w:val="24"/>
          <w:highlight w:val="none"/>
        </w:rPr>
        <w:t>月</w:t>
      </w:r>
      <w:r>
        <w:rPr>
          <w:rFonts w:hint="eastAsia" w:cs="Times New Roman"/>
          <w:sz w:val="24"/>
          <w:highlight w:val="none"/>
          <w:lang w:val="en-US" w:eastAsia="zh-CN"/>
        </w:rPr>
        <w:t>7</w:t>
      </w:r>
      <w:r>
        <w:rPr>
          <w:rFonts w:hint="default" w:ascii="Times New Roman" w:hAnsi="Times New Roman" w:cs="Times New Roman"/>
          <w:sz w:val="24"/>
          <w:highlight w:val="none"/>
        </w:rPr>
        <w:t>日在中国证监会指定的信息披露网站巨潮资讯网（</w:t>
      </w:r>
      <w:r>
        <w:rPr>
          <w:rFonts w:hint="eastAsia" w:cs="Times New Roman"/>
          <w:sz w:val="24"/>
          <w:highlight w:val="none"/>
          <w:lang w:val="en-US" w:eastAsia="zh-CN"/>
        </w:rPr>
        <w:t>http://</w:t>
      </w:r>
      <w:r>
        <w:rPr>
          <w:rFonts w:hint="default" w:ascii="Times New Roman" w:hAnsi="Times New Roman" w:cs="Times New Roman"/>
          <w:sz w:val="24"/>
          <w:highlight w:val="none"/>
        </w:rPr>
        <w:t>www.cninfo.com.cn）上披露了《关于召开2025年第二次临时股东大会的通知》（公告编号：</w:t>
      </w:r>
      <w:r>
        <w:rPr>
          <w:rFonts w:hint="default" w:ascii="Times New Roman" w:hAnsi="Times New Roman" w:cs="Times New Roman"/>
          <w:sz w:val="24"/>
          <w:highlight w:val="none"/>
          <w:lang w:val="en-US" w:eastAsia="zh-CN"/>
        </w:rPr>
        <w:t>202</w:t>
      </w:r>
      <w:r>
        <w:rPr>
          <w:rFonts w:hint="eastAsia" w:cs="Times New Roman"/>
          <w:sz w:val="24"/>
          <w:highlight w:val="none"/>
          <w:lang w:val="en-US" w:eastAsia="zh-CN"/>
        </w:rPr>
        <w:t>5</w:t>
      </w:r>
      <w:r>
        <w:rPr>
          <w:rFonts w:hint="default" w:ascii="Times New Roman" w:hAnsi="Times New Roman" w:cs="Times New Roman"/>
          <w:sz w:val="24"/>
          <w:highlight w:val="none"/>
          <w:lang w:val="en-US" w:eastAsia="zh-CN"/>
        </w:rPr>
        <w:t>-0</w:t>
      </w:r>
      <w:r>
        <w:rPr>
          <w:rFonts w:hint="eastAsia" w:cs="Times New Roman"/>
          <w:sz w:val="24"/>
          <w:highlight w:val="none"/>
          <w:lang w:val="en-US" w:eastAsia="zh-CN"/>
        </w:rPr>
        <w:t>41</w:t>
      </w:r>
      <w:r>
        <w:rPr>
          <w:rFonts w:hint="default" w:ascii="Times New Roman" w:hAnsi="Times New Roman" w:cs="Times New Roman"/>
          <w:sz w:val="24"/>
          <w:highlight w:val="none"/>
        </w:rPr>
        <w:t>）</w:t>
      </w:r>
      <w:r>
        <w:rPr>
          <w:rFonts w:hint="eastAsia" w:ascii="宋体" w:hAnsi="宋体"/>
          <w:sz w:val="24"/>
          <w:highlight w:val="none"/>
        </w:rPr>
        <w:t>。本次股东大会采用现场投票和网络投票相结合的方式召开，现将本次股东大会的有关事宜提示如下</w:t>
      </w:r>
      <w:r>
        <w:rPr>
          <w:color w:val="000000"/>
          <w:sz w:val="24"/>
          <w:highlight w:val="none"/>
        </w:rPr>
        <w:t>：</w:t>
      </w:r>
      <w:bookmarkEnd w:id="1"/>
      <w:bookmarkEnd w:id="2"/>
      <w:bookmarkEnd w:id="3"/>
    </w:p>
    <w:p w14:paraId="333D3F8B">
      <w:pPr>
        <w:spacing w:line="500" w:lineRule="exact"/>
        <w:ind w:firstLine="482" w:firstLineChars="200"/>
        <w:rPr>
          <w:sz w:val="24"/>
          <w:szCs w:val="24"/>
          <w:highlight w:val="none"/>
        </w:rPr>
      </w:pPr>
      <w:r>
        <w:rPr>
          <w:rFonts w:hint="eastAsia"/>
          <w:b/>
          <w:sz w:val="24"/>
          <w:szCs w:val="24"/>
          <w:highlight w:val="none"/>
        </w:rPr>
        <w:t>一、召开会议的基本情况</w:t>
      </w:r>
    </w:p>
    <w:p w14:paraId="30FD29CE">
      <w:pPr>
        <w:spacing w:line="500" w:lineRule="exact"/>
        <w:ind w:firstLine="480" w:firstLineChars="200"/>
        <w:rPr>
          <w:sz w:val="24"/>
          <w:szCs w:val="24"/>
          <w:highlight w:val="none"/>
        </w:rPr>
      </w:pPr>
      <w:r>
        <w:rPr>
          <w:rFonts w:hint="eastAsia"/>
          <w:sz w:val="24"/>
          <w:szCs w:val="24"/>
          <w:highlight w:val="none"/>
        </w:rPr>
        <w:t>（一）股东大会届次：</w:t>
      </w:r>
      <w:r>
        <w:rPr>
          <w:rFonts w:hint="eastAsia"/>
          <w:sz w:val="24"/>
          <w:szCs w:val="24"/>
          <w:highlight w:val="none"/>
          <w:lang w:eastAsia="zh-CN"/>
        </w:rPr>
        <w:t>2025年第二次临时股东大会</w:t>
      </w:r>
    </w:p>
    <w:p w14:paraId="65ED6FEF">
      <w:pPr>
        <w:spacing w:line="500" w:lineRule="exact"/>
        <w:ind w:firstLine="480" w:firstLineChars="200"/>
        <w:rPr>
          <w:sz w:val="24"/>
          <w:szCs w:val="24"/>
          <w:highlight w:val="none"/>
        </w:rPr>
      </w:pPr>
      <w:r>
        <w:rPr>
          <w:rFonts w:hint="eastAsia"/>
          <w:sz w:val="24"/>
          <w:szCs w:val="24"/>
          <w:highlight w:val="none"/>
        </w:rPr>
        <w:t>（二）会议召集人：公司董事会</w:t>
      </w:r>
    </w:p>
    <w:p w14:paraId="2B544498">
      <w:pPr>
        <w:spacing w:line="500" w:lineRule="exact"/>
        <w:ind w:firstLine="480" w:firstLineChars="200"/>
        <w:rPr>
          <w:sz w:val="24"/>
          <w:szCs w:val="24"/>
          <w:highlight w:val="none"/>
        </w:rPr>
      </w:pPr>
      <w:r>
        <w:rPr>
          <w:rFonts w:hint="eastAsia"/>
          <w:sz w:val="24"/>
          <w:szCs w:val="24"/>
          <w:highlight w:val="none"/>
        </w:rPr>
        <w:t>（三）会议召开的合法、合规性：经公司</w:t>
      </w:r>
      <w:r>
        <w:rPr>
          <w:rFonts w:hint="eastAsia" w:ascii="宋体" w:hAnsi="宋体"/>
          <w:color w:val="000000"/>
          <w:sz w:val="24"/>
          <w:highlight w:val="none"/>
          <w:lang w:eastAsia="zh-CN"/>
        </w:rPr>
        <w:t>第六届董事会第十</w:t>
      </w:r>
      <w:r>
        <w:rPr>
          <w:rFonts w:hint="eastAsia" w:ascii="宋体" w:hAnsi="宋体"/>
          <w:color w:val="000000"/>
          <w:sz w:val="24"/>
          <w:highlight w:val="none"/>
          <w:lang w:val="en-US" w:eastAsia="zh-CN"/>
        </w:rPr>
        <w:t>四</w:t>
      </w:r>
      <w:r>
        <w:rPr>
          <w:rFonts w:hint="eastAsia" w:ascii="宋体" w:hAnsi="宋体"/>
          <w:color w:val="000000"/>
          <w:sz w:val="24"/>
          <w:highlight w:val="none"/>
          <w:lang w:eastAsia="zh-CN"/>
        </w:rPr>
        <w:t>次会议</w:t>
      </w:r>
      <w:r>
        <w:rPr>
          <w:rFonts w:hint="eastAsia"/>
          <w:sz w:val="24"/>
          <w:szCs w:val="24"/>
          <w:highlight w:val="none"/>
        </w:rPr>
        <w:t>审议通过，决定召开</w:t>
      </w:r>
      <w:r>
        <w:rPr>
          <w:rFonts w:hint="eastAsia"/>
          <w:sz w:val="24"/>
          <w:szCs w:val="24"/>
          <w:highlight w:val="none"/>
          <w:lang w:eastAsia="zh-CN"/>
        </w:rPr>
        <w:t>2025年第二次临时股东大会</w:t>
      </w:r>
      <w:r>
        <w:rPr>
          <w:rFonts w:hint="eastAsia"/>
          <w:sz w:val="24"/>
          <w:szCs w:val="24"/>
          <w:highlight w:val="none"/>
        </w:rPr>
        <w:t>，召集程序符合有关法律法规、规范性文件和《公司章程》的</w:t>
      </w:r>
      <w:r>
        <w:rPr>
          <w:rFonts w:hint="eastAsia"/>
          <w:sz w:val="24"/>
          <w:szCs w:val="24"/>
          <w:highlight w:val="none"/>
          <w:lang w:val="en-US" w:eastAsia="zh-CN"/>
        </w:rPr>
        <w:t>有关</w:t>
      </w:r>
      <w:r>
        <w:rPr>
          <w:rFonts w:hint="eastAsia"/>
          <w:sz w:val="24"/>
          <w:szCs w:val="24"/>
          <w:highlight w:val="none"/>
        </w:rPr>
        <w:t>规定。</w:t>
      </w:r>
    </w:p>
    <w:p w14:paraId="581DD11E">
      <w:pPr>
        <w:spacing w:line="500" w:lineRule="exact"/>
        <w:ind w:firstLine="480" w:firstLineChars="200"/>
        <w:rPr>
          <w:sz w:val="24"/>
          <w:szCs w:val="24"/>
          <w:highlight w:val="none"/>
        </w:rPr>
      </w:pPr>
      <w:r>
        <w:rPr>
          <w:rFonts w:hint="eastAsia"/>
          <w:sz w:val="24"/>
          <w:szCs w:val="24"/>
          <w:highlight w:val="none"/>
        </w:rPr>
        <w:t>（四）会议召开日期和时间：</w:t>
      </w:r>
    </w:p>
    <w:p w14:paraId="5AA0513E">
      <w:pPr>
        <w:spacing w:line="500" w:lineRule="exact"/>
        <w:ind w:firstLine="480" w:firstLineChars="200"/>
        <w:rPr>
          <w:sz w:val="24"/>
          <w:szCs w:val="24"/>
          <w:highlight w:val="none"/>
        </w:rPr>
      </w:pPr>
      <w:r>
        <w:rPr>
          <w:rFonts w:hint="eastAsia"/>
          <w:sz w:val="24"/>
          <w:szCs w:val="24"/>
          <w:highlight w:val="none"/>
        </w:rPr>
        <w:t>现场会议召开时间：</w:t>
      </w:r>
      <w:r>
        <w:rPr>
          <w:rFonts w:hint="eastAsia"/>
          <w:color w:val="000000"/>
          <w:sz w:val="24"/>
          <w:highlight w:val="none"/>
          <w:lang w:eastAsia="zh-CN"/>
        </w:rPr>
        <w:t>2025</w:t>
      </w:r>
      <w:r>
        <w:rPr>
          <w:color w:val="000000"/>
          <w:sz w:val="24"/>
          <w:highlight w:val="none"/>
        </w:rPr>
        <w:t>年</w:t>
      </w:r>
      <w:r>
        <w:rPr>
          <w:rFonts w:hint="eastAsia"/>
          <w:color w:val="000000"/>
          <w:sz w:val="24"/>
          <w:highlight w:val="none"/>
          <w:lang w:val="en-US" w:eastAsia="zh-CN"/>
        </w:rPr>
        <w:t>6</w:t>
      </w:r>
      <w:r>
        <w:rPr>
          <w:color w:val="000000"/>
          <w:sz w:val="24"/>
          <w:highlight w:val="none"/>
        </w:rPr>
        <w:t>月</w:t>
      </w:r>
      <w:r>
        <w:rPr>
          <w:rFonts w:hint="eastAsia"/>
          <w:color w:val="000000"/>
          <w:sz w:val="24"/>
          <w:highlight w:val="none"/>
          <w:lang w:val="en-US" w:eastAsia="zh-CN"/>
        </w:rPr>
        <w:t>23</w:t>
      </w:r>
      <w:r>
        <w:rPr>
          <w:color w:val="000000"/>
          <w:sz w:val="24"/>
          <w:highlight w:val="none"/>
        </w:rPr>
        <w:t>日</w:t>
      </w:r>
      <w:r>
        <w:rPr>
          <w:rFonts w:hint="eastAsia"/>
          <w:sz w:val="24"/>
          <w:szCs w:val="24"/>
          <w:highlight w:val="none"/>
        </w:rPr>
        <w:t>下午1</w:t>
      </w:r>
      <w:r>
        <w:rPr>
          <w:rFonts w:hint="eastAsia"/>
          <w:sz w:val="24"/>
          <w:szCs w:val="24"/>
          <w:highlight w:val="none"/>
          <w:lang w:val="en-US" w:eastAsia="zh-CN"/>
        </w:rPr>
        <w:t>5</w:t>
      </w:r>
      <w:r>
        <w:rPr>
          <w:rFonts w:hint="eastAsia"/>
          <w:sz w:val="24"/>
          <w:szCs w:val="24"/>
          <w:highlight w:val="none"/>
        </w:rPr>
        <w:t>:</w:t>
      </w:r>
      <w:r>
        <w:rPr>
          <w:rFonts w:hint="eastAsia"/>
          <w:sz w:val="24"/>
          <w:szCs w:val="24"/>
          <w:highlight w:val="none"/>
          <w:lang w:val="en-US" w:eastAsia="zh-CN"/>
        </w:rPr>
        <w:t>0</w:t>
      </w:r>
      <w:r>
        <w:rPr>
          <w:rFonts w:hint="eastAsia"/>
          <w:sz w:val="24"/>
          <w:szCs w:val="24"/>
          <w:highlight w:val="none"/>
        </w:rPr>
        <w:t>0</w:t>
      </w:r>
    </w:p>
    <w:p w14:paraId="34384365">
      <w:pPr>
        <w:spacing w:line="500" w:lineRule="exact"/>
        <w:ind w:firstLine="480" w:firstLineChars="200"/>
        <w:rPr>
          <w:sz w:val="24"/>
          <w:szCs w:val="24"/>
          <w:highlight w:val="none"/>
        </w:rPr>
      </w:pPr>
      <w:r>
        <w:rPr>
          <w:rFonts w:hint="eastAsia"/>
          <w:sz w:val="24"/>
          <w:szCs w:val="24"/>
          <w:highlight w:val="none"/>
        </w:rPr>
        <w:t>网络投票时间：通过深圳证券交易所交易系统进行网络投票的时间为：</w:t>
      </w:r>
      <w:r>
        <w:rPr>
          <w:rFonts w:hint="eastAsia"/>
          <w:color w:val="000000"/>
          <w:sz w:val="24"/>
          <w:highlight w:val="none"/>
          <w:lang w:eastAsia="zh-CN"/>
        </w:rPr>
        <w:t>2025</w:t>
      </w:r>
      <w:r>
        <w:rPr>
          <w:color w:val="000000"/>
          <w:sz w:val="24"/>
          <w:highlight w:val="none"/>
        </w:rPr>
        <w:t>年</w:t>
      </w:r>
      <w:r>
        <w:rPr>
          <w:rFonts w:hint="eastAsia"/>
          <w:color w:val="000000"/>
          <w:sz w:val="24"/>
          <w:highlight w:val="none"/>
          <w:lang w:val="en-US" w:eastAsia="zh-CN"/>
        </w:rPr>
        <w:t>6</w:t>
      </w:r>
      <w:r>
        <w:rPr>
          <w:color w:val="000000"/>
          <w:sz w:val="24"/>
          <w:highlight w:val="none"/>
        </w:rPr>
        <w:t>月</w:t>
      </w:r>
      <w:r>
        <w:rPr>
          <w:rFonts w:hint="eastAsia"/>
          <w:color w:val="000000"/>
          <w:sz w:val="24"/>
          <w:highlight w:val="none"/>
          <w:lang w:val="en-US" w:eastAsia="zh-CN"/>
        </w:rPr>
        <w:t>23</w:t>
      </w:r>
      <w:r>
        <w:rPr>
          <w:color w:val="000000"/>
          <w:sz w:val="24"/>
          <w:highlight w:val="none"/>
        </w:rPr>
        <w:t>日</w:t>
      </w:r>
      <w:r>
        <w:rPr>
          <w:rFonts w:hint="eastAsia"/>
          <w:sz w:val="24"/>
          <w:szCs w:val="24"/>
          <w:highlight w:val="none"/>
        </w:rPr>
        <w:t>上午</w:t>
      </w:r>
      <w:r>
        <w:rPr>
          <w:sz w:val="24"/>
          <w:szCs w:val="24"/>
          <w:highlight w:val="none"/>
        </w:rPr>
        <w:t>9:15—9</w:t>
      </w:r>
      <w:r>
        <w:rPr>
          <w:rFonts w:hint="eastAsia"/>
          <w:sz w:val="24"/>
          <w:szCs w:val="24"/>
          <w:highlight w:val="none"/>
        </w:rPr>
        <w:t>:</w:t>
      </w:r>
      <w:r>
        <w:rPr>
          <w:sz w:val="24"/>
          <w:szCs w:val="24"/>
          <w:highlight w:val="none"/>
        </w:rPr>
        <w:t>25，9</w:t>
      </w:r>
      <w:r>
        <w:rPr>
          <w:rFonts w:hint="eastAsia"/>
          <w:sz w:val="24"/>
          <w:szCs w:val="24"/>
          <w:highlight w:val="none"/>
        </w:rPr>
        <w:t>:</w:t>
      </w:r>
      <w:r>
        <w:rPr>
          <w:sz w:val="24"/>
          <w:szCs w:val="24"/>
          <w:highlight w:val="none"/>
        </w:rPr>
        <w:t>30—11:30</w:t>
      </w:r>
      <w:r>
        <w:rPr>
          <w:rFonts w:ascii="宋体" w:hAnsi="宋体" w:cs="宋体"/>
          <w:sz w:val="24"/>
          <w:szCs w:val="24"/>
          <w:highlight w:val="none"/>
        </w:rPr>
        <w:t>和</w:t>
      </w:r>
      <w:r>
        <w:rPr>
          <w:rFonts w:hint="eastAsia" w:ascii="宋体" w:hAnsi="宋体" w:cs="宋体"/>
          <w:sz w:val="24"/>
          <w:szCs w:val="24"/>
          <w:highlight w:val="none"/>
        </w:rPr>
        <w:t>下午</w:t>
      </w:r>
      <w:r>
        <w:rPr>
          <w:sz w:val="24"/>
          <w:szCs w:val="24"/>
          <w:highlight w:val="none"/>
        </w:rPr>
        <w:t>13:00—15:00</w:t>
      </w:r>
      <w:r>
        <w:rPr>
          <w:rFonts w:hint="eastAsia"/>
          <w:sz w:val="24"/>
          <w:szCs w:val="24"/>
          <w:highlight w:val="none"/>
        </w:rPr>
        <w:t>；通过深圳证券交易所互联网投票系统进行投票的具体时间为：</w:t>
      </w:r>
      <w:r>
        <w:rPr>
          <w:rFonts w:hint="eastAsia"/>
          <w:color w:val="000000"/>
          <w:sz w:val="24"/>
          <w:highlight w:val="none"/>
          <w:lang w:eastAsia="zh-CN"/>
        </w:rPr>
        <w:t>2025</w:t>
      </w:r>
      <w:r>
        <w:rPr>
          <w:color w:val="000000"/>
          <w:sz w:val="24"/>
          <w:highlight w:val="none"/>
        </w:rPr>
        <w:t>年</w:t>
      </w:r>
      <w:r>
        <w:rPr>
          <w:rFonts w:hint="eastAsia"/>
          <w:color w:val="000000"/>
          <w:sz w:val="24"/>
          <w:highlight w:val="none"/>
          <w:lang w:val="en-US" w:eastAsia="zh-CN"/>
        </w:rPr>
        <w:t>6</w:t>
      </w:r>
      <w:r>
        <w:rPr>
          <w:color w:val="000000"/>
          <w:sz w:val="24"/>
          <w:highlight w:val="none"/>
        </w:rPr>
        <w:t>月</w:t>
      </w:r>
      <w:r>
        <w:rPr>
          <w:rFonts w:hint="eastAsia"/>
          <w:color w:val="000000"/>
          <w:sz w:val="24"/>
          <w:highlight w:val="none"/>
          <w:lang w:val="en-US" w:eastAsia="zh-CN"/>
        </w:rPr>
        <w:t>23</w:t>
      </w:r>
      <w:r>
        <w:rPr>
          <w:color w:val="000000"/>
          <w:sz w:val="24"/>
          <w:highlight w:val="none"/>
        </w:rPr>
        <w:t>日</w:t>
      </w:r>
      <w:r>
        <w:rPr>
          <w:rFonts w:hint="eastAsia"/>
          <w:sz w:val="24"/>
          <w:szCs w:val="24"/>
          <w:highlight w:val="none"/>
        </w:rPr>
        <w:t>上午9:15至</w:t>
      </w:r>
      <w:r>
        <w:rPr>
          <w:rFonts w:hint="eastAsia"/>
          <w:color w:val="000000"/>
          <w:sz w:val="24"/>
          <w:highlight w:val="none"/>
          <w:lang w:eastAsia="zh-CN"/>
        </w:rPr>
        <w:t>2025</w:t>
      </w:r>
      <w:r>
        <w:rPr>
          <w:color w:val="000000"/>
          <w:sz w:val="24"/>
          <w:highlight w:val="none"/>
        </w:rPr>
        <w:t>年</w:t>
      </w:r>
      <w:r>
        <w:rPr>
          <w:rFonts w:hint="eastAsia"/>
          <w:color w:val="000000"/>
          <w:sz w:val="24"/>
          <w:highlight w:val="none"/>
          <w:lang w:val="en-US" w:eastAsia="zh-CN"/>
        </w:rPr>
        <w:t>6</w:t>
      </w:r>
      <w:r>
        <w:rPr>
          <w:color w:val="000000"/>
          <w:sz w:val="24"/>
          <w:highlight w:val="none"/>
        </w:rPr>
        <w:t>月</w:t>
      </w:r>
      <w:r>
        <w:rPr>
          <w:rFonts w:hint="eastAsia"/>
          <w:color w:val="000000"/>
          <w:sz w:val="24"/>
          <w:highlight w:val="none"/>
          <w:lang w:val="en-US" w:eastAsia="zh-CN"/>
        </w:rPr>
        <w:t>23</w:t>
      </w:r>
      <w:r>
        <w:rPr>
          <w:color w:val="000000"/>
          <w:sz w:val="24"/>
          <w:highlight w:val="none"/>
        </w:rPr>
        <w:t>日</w:t>
      </w:r>
      <w:r>
        <w:rPr>
          <w:rFonts w:hint="eastAsia"/>
          <w:sz w:val="24"/>
          <w:szCs w:val="24"/>
          <w:highlight w:val="none"/>
        </w:rPr>
        <w:t>下午15:00期间的任意时间。</w:t>
      </w:r>
    </w:p>
    <w:p w14:paraId="15F73506">
      <w:pPr>
        <w:autoSpaceDE w:val="0"/>
        <w:autoSpaceDN w:val="0"/>
        <w:adjustRightInd w:val="0"/>
        <w:spacing w:line="500" w:lineRule="exact"/>
        <w:ind w:firstLine="480" w:firstLineChars="200"/>
        <w:rPr>
          <w:color w:val="000000"/>
          <w:sz w:val="24"/>
          <w:szCs w:val="24"/>
          <w:highlight w:val="none"/>
        </w:rPr>
      </w:pPr>
      <w:r>
        <w:rPr>
          <w:rFonts w:hint="eastAsia"/>
          <w:color w:val="000000"/>
          <w:sz w:val="24"/>
          <w:szCs w:val="24"/>
          <w:highlight w:val="none"/>
        </w:rPr>
        <w:t>（五）会议召开方式：本次会议采取现场投票与网络投票相结合的方式，公司将通过深圳证券交易所交易系统和互联网投票系统（http://wltp.cninfo.com.cn）向股东提供网络形式的投票平台，股东可以在网络投票时间内通过上述系统行使表决权。</w:t>
      </w:r>
    </w:p>
    <w:p w14:paraId="54C34C28">
      <w:pPr>
        <w:spacing w:line="500" w:lineRule="exact"/>
        <w:ind w:firstLine="480" w:firstLineChars="200"/>
        <w:rPr>
          <w:sz w:val="24"/>
          <w:szCs w:val="24"/>
          <w:highlight w:val="none"/>
        </w:rPr>
      </w:pPr>
      <w:r>
        <w:rPr>
          <w:rFonts w:hint="eastAsia"/>
          <w:sz w:val="24"/>
          <w:szCs w:val="24"/>
          <w:highlight w:val="none"/>
        </w:rPr>
        <w:t>参加股东大会的方式：公司股东只能选择现场投票（现场投票可以委托代理人代为投票）和网络投票中的一种表决方式，如果同一表决权出现重复投票表决的，以第一次有效投票表决结果为准。</w:t>
      </w:r>
    </w:p>
    <w:p w14:paraId="4476AE44">
      <w:pPr>
        <w:spacing w:line="500" w:lineRule="exact"/>
        <w:ind w:firstLine="480" w:firstLineChars="200"/>
        <w:rPr>
          <w:sz w:val="24"/>
          <w:szCs w:val="24"/>
          <w:highlight w:val="none"/>
        </w:rPr>
      </w:pPr>
      <w:r>
        <w:rPr>
          <w:rFonts w:hint="eastAsia"/>
          <w:sz w:val="24"/>
          <w:szCs w:val="24"/>
          <w:highlight w:val="none"/>
        </w:rPr>
        <w:t>（六）股权登记日：</w:t>
      </w:r>
      <w:r>
        <w:rPr>
          <w:rFonts w:hint="eastAsia"/>
          <w:color w:val="000000"/>
          <w:sz w:val="24"/>
          <w:highlight w:val="none"/>
          <w:lang w:eastAsia="zh-CN"/>
        </w:rPr>
        <w:t>2025</w:t>
      </w:r>
      <w:r>
        <w:rPr>
          <w:color w:val="000000"/>
          <w:sz w:val="24"/>
          <w:highlight w:val="none"/>
        </w:rPr>
        <w:t>年</w:t>
      </w:r>
      <w:r>
        <w:rPr>
          <w:rFonts w:hint="eastAsia"/>
          <w:color w:val="000000"/>
          <w:sz w:val="24"/>
          <w:highlight w:val="none"/>
          <w:lang w:val="en-US" w:eastAsia="zh-CN"/>
        </w:rPr>
        <w:t>6</w:t>
      </w:r>
      <w:r>
        <w:rPr>
          <w:color w:val="000000"/>
          <w:sz w:val="24"/>
          <w:highlight w:val="none"/>
        </w:rPr>
        <w:t>月</w:t>
      </w:r>
      <w:r>
        <w:rPr>
          <w:rFonts w:hint="eastAsia"/>
          <w:color w:val="000000"/>
          <w:sz w:val="24"/>
          <w:highlight w:val="none"/>
          <w:lang w:val="en-US" w:eastAsia="zh-CN"/>
        </w:rPr>
        <w:t>16</w:t>
      </w:r>
      <w:r>
        <w:rPr>
          <w:color w:val="000000"/>
          <w:sz w:val="24"/>
          <w:highlight w:val="none"/>
        </w:rPr>
        <w:t>日</w:t>
      </w:r>
    </w:p>
    <w:p w14:paraId="57F1DFFE">
      <w:pPr>
        <w:spacing w:line="500" w:lineRule="exact"/>
        <w:ind w:firstLine="480" w:firstLineChars="200"/>
        <w:rPr>
          <w:sz w:val="24"/>
          <w:szCs w:val="24"/>
          <w:highlight w:val="none"/>
        </w:rPr>
      </w:pPr>
      <w:r>
        <w:rPr>
          <w:rFonts w:hint="eastAsia"/>
          <w:sz w:val="24"/>
          <w:szCs w:val="24"/>
          <w:highlight w:val="none"/>
        </w:rPr>
        <w:t>（七）会议出席对象：</w:t>
      </w:r>
    </w:p>
    <w:p w14:paraId="53ECE405">
      <w:pPr>
        <w:spacing w:line="500" w:lineRule="exact"/>
        <w:ind w:firstLine="480" w:firstLineChars="200"/>
        <w:rPr>
          <w:sz w:val="24"/>
          <w:szCs w:val="24"/>
          <w:highlight w:val="none"/>
        </w:rPr>
      </w:pPr>
      <w:r>
        <w:rPr>
          <w:rFonts w:hint="eastAsia"/>
          <w:sz w:val="24"/>
          <w:szCs w:val="24"/>
          <w:highlight w:val="none"/>
        </w:rPr>
        <w:t>1、截至</w:t>
      </w:r>
      <w:r>
        <w:rPr>
          <w:rFonts w:hint="eastAsia"/>
          <w:color w:val="000000"/>
          <w:sz w:val="24"/>
          <w:highlight w:val="none"/>
          <w:lang w:eastAsia="zh-CN"/>
        </w:rPr>
        <w:t>2025</w:t>
      </w:r>
      <w:r>
        <w:rPr>
          <w:color w:val="000000"/>
          <w:sz w:val="24"/>
          <w:highlight w:val="none"/>
        </w:rPr>
        <w:t>年</w:t>
      </w:r>
      <w:r>
        <w:rPr>
          <w:rFonts w:hint="eastAsia"/>
          <w:color w:val="000000"/>
          <w:sz w:val="24"/>
          <w:highlight w:val="none"/>
          <w:lang w:val="en-US" w:eastAsia="zh-CN"/>
        </w:rPr>
        <w:t>6</w:t>
      </w:r>
      <w:r>
        <w:rPr>
          <w:color w:val="000000"/>
          <w:sz w:val="24"/>
          <w:highlight w:val="none"/>
        </w:rPr>
        <w:t>月</w:t>
      </w:r>
      <w:r>
        <w:rPr>
          <w:rFonts w:hint="eastAsia"/>
          <w:color w:val="000000"/>
          <w:sz w:val="24"/>
          <w:highlight w:val="none"/>
          <w:lang w:val="en-US" w:eastAsia="zh-CN"/>
        </w:rPr>
        <w:t>16</w:t>
      </w:r>
      <w:r>
        <w:rPr>
          <w:color w:val="000000"/>
          <w:sz w:val="24"/>
          <w:highlight w:val="none"/>
        </w:rPr>
        <w:t>日</w:t>
      </w:r>
      <w:r>
        <w:rPr>
          <w:rFonts w:hint="eastAsia"/>
          <w:sz w:val="24"/>
          <w:szCs w:val="24"/>
          <w:highlight w:val="none"/>
        </w:rPr>
        <w:t>下午15:00深圳证券交易所收市时，在中国证券登记结算有限责任公司深圳分公司登记在册的全体普通股股东，均有权出席股东大会并参加表决，不能亲自出席本次股东大会的股东，可以书面形式委托代理人出席会议并表决，该股东代理人不必是公司股东；</w:t>
      </w:r>
    </w:p>
    <w:p w14:paraId="4A7587E7">
      <w:pPr>
        <w:spacing w:line="500" w:lineRule="exact"/>
        <w:ind w:firstLine="480" w:firstLineChars="200"/>
        <w:rPr>
          <w:sz w:val="24"/>
          <w:szCs w:val="24"/>
          <w:highlight w:val="none"/>
        </w:rPr>
      </w:pPr>
      <w:r>
        <w:rPr>
          <w:rFonts w:hint="eastAsia"/>
          <w:sz w:val="24"/>
          <w:szCs w:val="24"/>
          <w:highlight w:val="none"/>
        </w:rPr>
        <w:t>2、公司董事、监事和高级管理人员；</w:t>
      </w:r>
    </w:p>
    <w:p w14:paraId="1976B331">
      <w:pPr>
        <w:spacing w:line="500" w:lineRule="exact"/>
        <w:ind w:firstLine="480" w:firstLineChars="200"/>
        <w:rPr>
          <w:sz w:val="24"/>
          <w:szCs w:val="24"/>
          <w:highlight w:val="none"/>
        </w:rPr>
      </w:pPr>
      <w:r>
        <w:rPr>
          <w:rFonts w:hint="eastAsia"/>
          <w:sz w:val="24"/>
          <w:szCs w:val="24"/>
          <w:highlight w:val="none"/>
        </w:rPr>
        <w:t>3、公司聘请的见证律师及相关人员。</w:t>
      </w:r>
    </w:p>
    <w:p w14:paraId="55D51285">
      <w:pPr>
        <w:spacing w:line="500" w:lineRule="exact"/>
        <w:ind w:firstLine="480" w:firstLineChars="200"/>
        <w:rPr>
          <w:sz w:val="24"/>
          <w:szCs w:val="24"/>
          <w:highlight w:val="none"/>
        </w:rPr>
      </w:pPr>
      <w:r>
        <w:rPr>
          <w:rFonts w:hint="eastAsia"/>
          <w:sz w:val="24"/>
          <w:szCs w:val="24"/>
          <w:highlight w:val="none"/>
        </w:rPr>
        <w:t>（八）现场会议地点：广州市黄埔区玉岩路12号公司会议室。</w:t>
      </w:r>
    </w:p>
    <w:p w14:paraId="7FDD161C">
      <w:pPr>
        <w:autoSpaceDE w:val="0"/>
        <w:autoSpaceDN w:val="0"/>
        <w:adjustRightInd w:val="0"/>
        <w:spacing w:line="500" w:lineRule="exact"/>
        <w:ind w:firstLine="482" w:firstLineChars="200"/>
        <w:rPr>
          <w:b/>
          <w:sz w:val="24"/>
          <w:szCs w:val="24"/>
          <w:highlight w:val="none"/>
        </w:rPr>
      </w:pPr>
      <w:bookmarkStart w:id="4" w:name="_Toc361846135"/>
      <w:bookmarkStart w:id="5" w:name="_Toc361845994"/>
      <w:bookmarkStart w:id="6" w:name="_Toc361768043"/>
      <w:r>
        <w:rPr>
          <w:rFonts w:hint="eastAsia"/>
          <w:b/>
          <w:sz w:val="24"/>
          <w:szCs w:val="24"/>
          <w:highlight w:val="none"/>
        </w:rPr>
        <w:t>二、会议审议事项</w:t>
      </w:r>
      <w:bookmarkEnd w:id="4"/>
      <w:bookmarkEnd w:id="5"/>
      <w:bookmarkEnd w:id="6"/>
    </w:p>
    <w:p w14:paraId="5763AF4C">
      <w:pPr>
        <w:spacing w:line="500" w:lineRule="exact"/>
        <w:ind w:firstLine="480" w:firstLineChars="200"/>
        <w:jc w:val="center"/>
        <w:rPr>
          <w:rFonts w:cs="仿宋_GB2312"/>
          <w:kern w:val="0"/>
          <w:sz w:val="24"/>
          <w:szCs w:val="24"/>
          <w:highlight w:val="none"/>
        </w:rPr>
      </w:pPr>
      <w:r>
        <w:rPr>
          <w:rFonts w:hint="eastAsia" w:cs="仿宋_GB2312"/>
          <w:kern w:val="0"/>
          <w:sz w:val="24"/>
          <w:szCs w:val="24"/>
          <w:highlight w:val="none"/>
        </w:rPr>
        <w:t>表一：</w:t>
      </w:r>
      <w:r>
        <w:rPr>
          <w:rFonts w:cs="仿宋_GB2312"/>
          <w:kern w:val="0"/>
          <w:sz w:val="24"/>
          <w:szCs w:val="24"/>
          <w:highlight w:val="none"/>
        </w:rPr>
        <w:t>本次股东大会提案编码示例表</w:t>
      </w:r>
    </w:p>
    <w:tbl>
      <w:tblPr>
        <w:tblStyle w:val="6"/>
        <w:tblW w:w="90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9"/>
        <w:gridCol w:w="5670"/>
        <w:gridCol w:w="1560"/>
      </w:tblGrid>
      <w:tr w14:paraId="591A88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4" w:hRule="atLeast"/>
        </w:trPr>
        <w:tc>
          <w:tcPr>
            <w:tcW w:w="1809" w:type="dxa"/>
            <w:vMerge w:val="restart"/>
            <w:shd w:val="clear" w:color="auto" w:fill="D9D9D9"/>
            <w:noWrap w:val="0"/>
            <w:vAlign w:val="center"/>
          </w:tcPr>
          <w:p w14:paraId="25807807">
            <w:pPr>
              <w:spacing w:line="360" w:lineRule="auto"/>
              <w:jc w:val="center"/>
              <w:rPr>
                <w:b/>
                <w:sz w:val="21"/>
                <w:szCs w:val="21"/>
                <w:highlight w:val="none"/>
              </w:rPr>
            </w:pPr>
            <w:bookmarkStart w:id="7" w:name="_Toc361846136"/>
            <w:bookmarkStart w:id="8" w:name="_Toc361768044"/>
            <w:bookmarkStart w:id="9" w:name="_Toc361845995"/>
            <w:r>
              <w:rPr>
                <w:rFonts w:hint="eastAsia"/>
                <w:b/>
                <w:sz w:val="21"/>
                <w:szCs w:val="21"/>
                <w:highlight w:val="none"/>
              </w:rPr>
              <w:t>提案编码</w:t>
            </w:r>
          </w:p>
        </w:tc>
        <w:tc>
          <w:tcPr>
            <w:tcW w:w="5670" w:type="dxa"/>
            <w:vMerge w:val="restart"/>
            <w:shd w:val="clear" w:color="auto" w:fill="D9D9D9"/>
            <w:noWrap w:val="0"/>
            <w:vAlign w:val="center"/>
          </w:tcPr>
          <w:p w14:paraId="21C79AB5">
            <w:pPr>
              <w:spacing w:line="360" w:lineRule="auto"/>
              <w:jc w:val="center"/>
              <w:rPr>
                <w:b/>
                <w:sz w:val="21"/>
                <w:szCs w:val="21"/>
                <w:highlight w:val="none"/>
              </w:rPr>
            </w:pPr>
            <w:r>
              <w:rPr>
                <w:rFonts w:hint="eastAsia"/>
                <w:b/>
                <w:sz w:val="21"/>
                <w:szCs w:val="21"/>
                <w:highlight w:val="none"/>
              </w:rPr>
              <w:t>提案名称</w:t>
            </w:r>
          </w:p>
        </w:tc>
        <w:tc>
          <w:tcPr>
            <w:tcW w:w="1560" w:type="dxa"/>
            <w:tcBorders>
              <w:bottom w:val="single" w:color="auto" w:sz="4" w:space="0"/>
            </w:tcBorders>
            <w:shd w:val="clear" w:color="auto" w:fill="D9D9D9"/>
            <w:noWrap w:val="0"/>
            <w:vAlign w:val="center"/>
          </w:tcPr>
          <w:p w14:paraId="75D0AA46">
            <w:pPr>
              <w:spacing w:line="360" w:lineRule="auto"/>
              <w:jc w:val="center"/>
              <w:rPr>
                <w:b/>
                <w:sz w:val="21"/>
                <w:szCs w:val="21"/>
                <w:highlight w:val="none"/>
              </w:rPr>
            </w:pPr>
            <w:r>
              <w:rPr>
                <w:rFonts w:hint="eastAsia"/>
                <w:b/>
                <w:sz w:val="21"/>
                <w:szCs w:val="21"/>
                <w:highlight w:val="none"/>
              </w:rPr>
              <w:t>备注</w:t>
            </w:r>
          </w:p>
        </w:tc>
      </w:tr>
      <w:tr w14:paraId="291EA9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trPr>
        <w:tc>
          <w:tcPr>
            <w:tcW w:w="1809" w:type="dxa"/>
            <w:vMerge w:val="continue"/>
            <w:noWrap w:val="0"/>
            <w:vAlign w:val="center"/>
          </w:tcPr>
          <w:p w14:paraId="19DED0A9">
            <w:pPr>
              <w:spacing w:line="360" w:lineRule="auto"/>
              <w:jc w:val="center"/>
              <w:rPr>
                <w:sz w:val="21"/>
                <w:szCs w:val="21"/>
                <w:highlight w:val="none"/>
              </w:rPr>
            </w:pPr>
          </w:p>
        </w:tc>
        <w:tc>
          <w:tcPr>
            <w:tcW w:w="5670" w:type="dxa"/>
            <w:vMerge w:val="continue"/>
            <w:noWrap w:val="0"/>
            <w:vAlign w:val="center"/>
          </w:tcPr>
          <w:p w14:paraId="681DBE8E">
            <w:pPr>
              <w:spacing w:line="360" w:lineRule="auto"/>
              <w:jc w:val="left"/>
              <w:rPr>
                <w:sz w:val="21"/>
                <w:szCs w:val="21"/>
                <w:highlight w:val="none"/>
              </w:rPr>
            </w:pPr>
          </w:p>
        </w:tc>
        <w:tc>
          <w:tcPr>
            <w:tcW w:w="1560" w:type="dxa"/>
            <w:tcBorders>
              <w:top w:val="single" w:color="auto" w:sz="4" w:space="0"/>
            </w:tcBorders>
            <w:noWrap w:val="0"/>
            <w:vAlign w:val="center"/>
          </w:tcPr>
          <w:p w14:paraId="4AD88BDC">
            <w:pPr>
              <w:jc w:val="both"/>
              <w:rPr>
                <w:sz w:val="21"/>
                <w:szCs w:val="21"/>
                <w:highlight w:val="none"/>
              </w:rPr>
            </w:pPr>
            <w:r>
              <w:rPr>
                <w:rFonts w:hint="eastAsia"/>
                <w:sz w:val="21"/>
                <w:szCs w:val="21"/>
                <w:highlight w:val="none"/>
              </w:rPr>
              <w:t>该列打勾的栏目可以投票</w:t>
            </w:r>
          </w:p>
        </w:tc>
      </w:tr>
      <w:tr w14:paraId="7750A1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noWrap w:val="0"/>
            <w:vAlign w:val="center"/>
          </w:tcPr>
          <w:p w14:paraId="1B75CB3C">
            <w:pPr>
              <w:jc w:val="center"/>
              <w:rPr>
                <w:sz w:val="21"/>
                <w:szCs w:val="21"/>
                <w:highlight w:val="none"/>
              </w:rPr>
            </w:pPr>
            <w:r>
              <w:rPr>
                <w:sz w:val="21"/>
                <w:szCs w:val="21"/>
                <w:highlight w:val="none"/>
              </w:rPr>
              <w:t>100</w:t>
            </w:r>
          </w:p>
        </w:tc>
        <w:tc>
          <w:tcPr>
            <w:tcW w:w="5670" w:type="dxa"/>
            <w:tcBorders>
              <w:right w:val="single" w:color="auto" w:sz="4" w:space="0"/>
            </w:tcBorders>
            <w:noWrap w:val="0"/>
            <w:vAlign w:val="center"/>
          </w:tcPr>
          <w:p w14:paraId="13005830">
            <w:pPr>
              <w:jc w:val="left"/>
              <w:rPr>
                <w:sz w:val="21"/>
                <w:szCs w:val="21"/>
                <w:highlight w:val="none"/>
              </w:rPr>
            </w:pPr>
            <w:r>
              <w:rPr>
                <w:sz w:val="21"/>
                <w:szCs w:val="21"/>
                <w:highlight w:val="none"/>
              </w:rPr>
              <w:t>总议案：除累积投票提案外的所有提案</w:t>
            </w:r>
          </w:p>
        </w:tc>
        <w:tc>
          <w:tcPr>
            <w:tcW w:w="1560" w:type="dxa"/>
            <w:tcBorders>
              <w:left w:val="single" w:color="auto" w:sz="4" w:space="0"/>
            </w:tcBorders>
            <w:noWrap w:val="0"/>
            <w:vAlign w:val="center"/>
          </w:tcPr>
          <w:p w14:paraId="6799C51D">
            <w:pPr>
              <w:spacing w:line="360" w:lineRule="auto"/>
              <w:jc w:val="center"/>
              <w:rPr>
                <w:sz w:val="21"/>
                <w:szCs w:val="21"/>
                <w:highlight w:val="none"/>
              </w:rPr>
            </w:pPr>
            <w:r>
              <w:rPr>
                <w:rFonts w:hint="eastAsia"/>
                <w:sz w:val="21"/>
                <w:szCs w:val="21"/>
                <w:highlight w:val="none"/>
              </w:rPr>
              <w:t>√</w:t>
            </w:r>
          </w:p>
        </w:tc>
      </w:tr>
      <w:tr w14:paraId="7C5922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atLeast"/>
        </w:trPr>
        <w:tc>
          <w:tcPr>
            <w:tcW w:w="9039" w:type="dxa"/>
            <w:gridSpan w:val="3"/>
            <w:noWrap w:val="0"/>
            <w:vAlign w:val="center"/>
          </w:tcPr>
          <w:p w14:paraId="7B6EB30C">
            <w:pPr>
              <w:jc w:val="center"/>
              <w:rPr>
                <w:sz w:val="21"/>
                <w:szCs w:val="21"/>
                <w:highlight w:val="none"/>
              </w:rPr>
            </w:pPr>
            <w:r>
              <w:rPr>
                <w:sz w:val="21"/>
                <w:szCs w:val="21"/>
                <w:highlight w:val="none"/>
              </w:rPr>
              <w:t>非累积投票提案</w:t>
            </w:r>
          </w:p>
        </w:tc>
      </w:tr>
      <w:tr w14:paraId="6B64EB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noWrap w:val="0"/>
            <w:vAlign w:val="center"/>
          </w:tcPr>
          <w:p w14:paraId="54D38B7E">
            <w:pPr>
              <w:jc w:val="center"/>
              <w:rPr>
                <w:sz w:val="21"/>
                <w:szCs w:val="21"/>
                <w:highlight w:val="none"/>
              </w:rPr>
            </w:pPr>
            <w:r>
              <w:rPr>
                <w:sz w:val="21"/>
                <w:szCs w:val="21"/>
                <w:highlight w:val="none"/>
              </w:rPr>
              <w:t>1.00</w:t>
            </w:r>
          </w:p>
        </w:tc>
        <w:tc>
          <w:tcPr>
            <w:tcW w:w="5670" w:type="dxa"/>
            <w:noWrap w:val="0"/>
            <w:vAlign w:val="center"/>
          </w:tcPr>
          <w:p w14:paraId="265C18A5">
            <w:pPr>
              <w:jc w:val="left"/>
              <w:rPr>
                <w:rFonts w:hint="default" w:eastAsia="宋体"/>
                <w:sz w:val="21"/>
                <w:szCs w:val="21"/>
                <w:highlight w:val="none"/>
                <w:lang w:val="en-US" w:eastAsia="zh-CN"/>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lang w:val="en-US" w:eastAsia="zh-CN"/>
              </w:rPr>
              <w:t>关于修订</w:t>
            </w:r>
            <w:r>
              <w:rPr>
                <w:rFonts w:hint="eastAsia" w:ascii="Times New Roman" w:hAnsi="Times New Roman" w:cs="Times New Roman"/>
                <w:sz w:val="21"/>
                <w:szCs w:val="21"/>
                <w:highlight w:val="none"/>
                <w:lang w:val="en-US" w:eastAsia="zh-CN"/>
              </w:rPr>
              <w:t>&lt;</w:t>
            </w:r>
            <w:r>
              <w:rPr>
                <w:rFonts w:hint="default" w:ascii="Times New Roman" w:hAnsi="Times New Roman" w:cs="Times New Roman"/>
                <w:sz w:val="21"/>
                <w:szCs w:val="21"/>
                <w:highlight w:val="none"/>
                <w:lang w:val="en-US" w:eastAsia="zh-CN"/>
              </w:rPr>
              <w:t>公司章程</w:t>
            </w:r>
            <w:r>
              <w:rPr>
                <w:rFonts w:hint="eastAsia" w:ascii="Times New Roman" w:hAnsi="Times New Roman" w:cs="Times New Roman"/>
                <w:sz w:val="21"/>
                <w:szCs w:val="21"/>
                <w:highlight w:val="none"/>
                <w:lang w:val="en-US" w:eastAsia="zh-CN"/>
              </w:rPr>
              <w:t>&gt;</w:t>
            </w:r>
            <w:r>
              <w:rPr>
                <w:rFonts w:hint="default" w:ascii="Times New Roman" w:hAnsi="Times New Roman" w:cs="Times New Roman"/>
                <w:sz w:val="21"/>
                <w:szCs w:val="21"/>
                <w:highlight w:val="none"/>
                <w:lang w:val="en-US" w:eastAsia="zh-CN"/>
              </w:rPr>
              <w:t>及其附件的议案</w:t>
            </w:r>
            <w:r>
              <w:rPr>
                <w:rFonts w:hint="eastAsia" w:ascii="Times New Roman" w:hAnsi="Times New Roman" w:cs="Times New Roman"/>
                <w:sz w:val="21"/>
                <w:szCs w:val="21"/>
                <w:highlight w:val="none"/>
                <w:lang w:val="en-US" w:eastAsia="zh-CN"/>
              </w:rPr>
              <w:t>》</w:t>
            </w:r>
          </w:p>
        </w:tc>
        <w:tc>
          <w:tcPr>
            <w:tcW w:w="1560" w:type="dxa"/>
            <w:noWrap w:val="0"/>
            <w:vAlign w:val="center"/>
          </w:tcPr>
          <w:p w14:paraId="42358925">
            <w:pPr>
              <w:spacing w:line="360" w:lineRule="auto"/>
              <w:jc w:val="center"/>
              <w:rPr>
                <w:sz w:val="21"/>
                <w:szCs w:val="21"/>
                <w:highlight w:val="none"/>
              </w:rPr>
            </w:pPr>
            <w:r>
              <w:rPr>
                <w:rFonts w:hint="eastAsia"/>
                <w:sz w:val="21"/>
                <w:szCs w:val="21"/>
                <w:highlight w:val="none"/>
              </w:rPr>
              <w:t>√</w:t>
            </w:r>
          </w:p>
        </w:tc>
      </w:tr>
      <w:tr w14:paraId="4B5CF0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noWrap w:val="0"/>
            <w:vAlign w:val="center"/>
          </w:tcPr>
          <w:p w14:paraId="7AFC6144">
            <w:pPr>
              <w:jc w:val="center"/>
              <w:rPr>
                <w:sz w:val="21"/>
                <w:szCs w:val="21"/>
                <w:highlight w:val="none"/>
              </w:rPr>
            </w:pPr>
            <w:r>
              <w:rPr>
                <w:sz w:val="21"/>
                <w:szCs w:val="21"/>
                <w:highlight w:val="none"/>
              </w:rPr>
              <w:t>2.00</w:t>
            </w:r>
          </w:p>
        </w:tc>
        <w:tc>
          <w:tcPr>
            <w:tcW w:w="5670" w:type="dxa"/>
            <w:noWrap w:val="0"/>
            <w:vAlign w:val="center"/>
          </w:tcPr>
          <w:p w14:paraId="4BFDB272">
            <w:pPr>
              <w:jc w:val="left"/>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《关于修订公司部分治理制度的议案</w:t>
            </w:r>
            <w:r>
              <w:rPr>
                <w:rFonts w:hint="default" w:ascii="Times New Roman" w:hAnsi="Times New Roman" w:cs="Times New Roman"/>
                <w:sz w:val="21"/>
                <w:szCs w:val="21"/>
                <w:highlight w:val="none"/>
                <w:lang w:val="en-US" w:eastAsia="zh-CN"/>
              </w:rPr>
              <w:t>》</w:t>
            </w:r>
          </w:p>
        </w:tc>
        <w:tc>
          <w:tcPr>
            <w:tcW w:w="1560" w:type="dxa"/>
            <w:noWrap w:val="0"/>
            <w:vAlign w:val="center"/>
          </w:tcPr>
          <w:p w14:paraId="15A3BD2B">
            <w:pPr>
              <w:spacing w:line="360" w:lineRule="auto"/>
              <w:jc w:val="center"/>
              <w:rPr>
                <w:rFonts w:hint="eastAsia"/>
                <w:sz w:val="21"/>
                <w:szCs w:val="21"/>
                <w:highlight w:val="none"/>
              </w:rPr>
            </w:pPr>
            <w:r>
              <w:rPr>
                <w:rFonts w:hint="eastAsia"/>
                <w:sz w:val="21"/>
                <w:szCs w:val="21"/>
                <w:highlight w:val="none"/>
              </w:rPr>
              <w:t>√</w:t>
            </w:r>
          </w:p>
        </w:tc>
      </w:tr>
      <w:tr w14:paraId="47A444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809" w:type="dxa"/>
            <w:noWrap w:val="0"/>
            <w:vAlign w:val="center"/>
          </w:tcPr>
          <w:p w14:paraId="0F4344A9">
            <w:pPr>
              <w:jc w:val="center"/>
              <w:rPr>
                <w:rFonts w:hint="eastAsia" w:eastAsia="宋体"/>
                <w:sz w:val="21"/>
                <w:szCs w:val="21"/>
                <w:highlight w:val="none"/>
                <w:lang w:val="en-US" w:eastAsia="zh-CN"/>
              </w:rPr>
            </w:pPr>
            <w:r>
              <w:rPr>
                <w:sz w:val="21"/>
                <w:szCs w:val="21"/>
                <w:highlight w:val="none"/>
              </w:rPr>
              <w:t>2.0</w:t>
            </w:r>
            <w:r>
              <w:rPr>
                <w:rFonts w:hint="eastAsia"/>
                <w:sz w:val="21"/>
                <w:szCs w:val="21"/>
                <w:highlight w:val="none"/>
                <w:lang w:val="en-US" w:eastAsia="zh-CN"/>
              </w:rPr>
              <w:t>1</w:t>
            </w:r>
          </w:p>
        </w:tc>
        <w:tc>
          <w:tcPr>
            <w:tcW w:w="5670" w:type="dxa"/>
            <w:noWrap w:val="0"/>
            <w:vAlign w:val="center"/>
          </w:tcPr>
          <w:p w14:paraId="32B9F753">
            <w:pPr>
              <w:jc w:val="left"/>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《修订&lt;股东会网络投票管理制度&gt;的议案》</w:t>
            </w:r>
          </w:p>
        </w:tc>
        <w:tc>
          <w:tcPr>
            <w:tcW w:w="1560" w:type="dxa"/>
            <w:noWrap w:val="0"/>
            <w:vAlign w:val="center"/>
          </w:tcPr>
          <w:p w14:paraId="279C4A59">
            <w:pPr>
              <w:spacing w:line="360" w:lineRule="auto"/>
              <w:jc w:val="center"/>
              <w:rPr>
                <w:rFonts w:hint="eastAsia"/>
                <w:sz w:val="21"/>
                <w:szCs w:val="21"/>
                <w:highlight w:val="none"/>
              </w:rPr>
            </w:pPr>
            <w:r>
              <w:rPr>
                <w:rFonts w:hint="eastAsia"/>
                <w:sz w:val="21"/>
                <w:szCs w:val="21"/>
                <w:highlight w:val="none"/>
              </w:rPr>
              <w:t>√</w:t>
            </w:r>
          </w:p>
        </w:tc>
      </w:tr>
      <w:tr w14:paraId="2845B0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noWrap w:val="0"/>
            <w:vAlign w:val="center"/>
          </w:tcPr>
          <w:p w14:paraId="1F0CAA9E">
            <w:pPr>
              <w:jc w:val="center"/>
              <w:rPr>
                <w:rFonts w:hint="eastAsia" w:eastAsia="宋体"/>
                <w:sz w:val="21"/>
                <w:szCs w:val="21"/>
                <w:highlight w:val="none"/>
                <w:lang w:val="en-US" w:eastAsia="zh-CN"/>
              </w:rPr>
            </w:pPr>
            <w:r>
              <w:rPr>
                <w:sz w:val="21"/>
                <w:szCs w:val="21"/>
                <w:highlight w:val="none"/>
              </w:rPr>
              <w:t>2.0</w:t>
            </w:r>
            <w:r>
              <w:rPr>
                <w:rFonts w:hint="eastAsia"/>
                <w:sz w:val="21"/>
                <w:szCs w:val="21"/>
                <w:highlight w:val="none"/>
                <w:lang w:val="en-US" w:eastAsia="zh-CN"/>
              </w:rPr>
              <w:t>2</w:t>
            </w:r>
          </w:p>
        </w:tc>
        <w:tc>
          <w:tcPr>
            <w:tcW w:w="5670" w:type="dxa"/>
            <w:noWrap w:val="0"/>
            <w:vAlign w:val="center"/>
          </w:tcPr>
          <w:p w14:paraId="6BB3AACD">
            <w:pPr>
              <w:jc w:val="left"/>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《修订&lt;独立董事工作细则&gt;的议案》</w:t>
            </w:r>
          </w:p>
        </w:tc>
        <w:tc>
          <w:tcPr>
            <w:tcW w:w="1560" w:type="dxa"/>
            <w:noWrap w:val="0"/>
            <w:vAlign w:val="center"/>
          </w:tcPr>
          <w:p w14:paraId="579C5EAF">
            <w:pPr>
              <w:spacing w:line="360" w:lineRule="auto"/>
              <w:jc w:val="center"/>
              <w:rPr>
                <w:rFonts w:hint="eastAsia"/>
                <w:sz w:val="21"/>
                <w:szCs w:val="21"/>
                <w:highlight w:val="none"/>
              </w:rPr>
            </w:pPr>
            <w:r>
              <w:rPr>
                <w:rFonts w:hint="eastAsia"/>
                <w:sz w:val="21"/>
                <w:szCs w:val="21"/>
                <w:highlight w:val="none"/>
              </w:rPr>
              <w:t>√</w:t>
            </w:r>
          </w:p>
        </w:tc>
      </w:tr>
      <w:tr w14:paraId="53931C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shd w:val="clear" w:color="auto" w:fill="auto"/>
            <w:noWrap w:val="0"/>
            <w:vAlign w:val="center"/>
          </w:tcPr>
          <w:p w14:paraId="1A3DC791">
            <w:pPr>
              <w:jc w:val="center"/>
              <w:rPr>
                <w:rFonts w:hint="eastAsia" w:ascii="Times New Roman" w:hAnsi="Times New Roman" w:eastAsia="宋体" w:cs="Times New Roman"/>
                <w:kern w:val="2"/>
                <w:sz w:val="21"/>
                <w:szCs w:val="21"/>
                <w:highlight w:val="none"/>
                <w:lang w:val="en-US" w:eastAsia="zh-CN" w:bidi="ar-SA"/>
              </w:rPr>
            </w:pPr>
            <w:r>
              <w:rPr>
                <w:sz w:val="21"/>
                <w:szCs w:val="21"/>
                <w:highlight w:val="none"/>
              </w:rPr>
              <w:t>2.0</w:t>
            </w:r>
            <w:r>
              <w:rPr>
                <w:rFonts w:hint="eastAsia"/>
                <w:sz w:val="21"/>
                <w:szCs w:val="21"/>
                <w:highlight w:val="none"/>
                <w:lang w:val="en-US" w:eastAsia="zh-CN"/>
              </w:rPr>
              <w:t>3</w:t>
            </w:r>
          </w:p>
        </w:tc>
        <w:tc>
          <w:tcPr>
            <w:tcW w:w="5670" w:type="dxa"/>
            <w:shd w:val="clear" w:color="auto" w:fill="auto"/>
            <w:noWrap w:val="0"/>
            <w:vAlign w:val="center"/>
          </w:tcPr>
          <w:p w14:paraId="52E6C276">
            <w:pPr>
              <w:jc w:val="left"/>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《修订&lt;累积投票制实施细则&gt;的议案》</w:t>
            </w:r>
          </w:p>
        </w:tc>
        <w:tc>
          <w:tcPr>
            <w:tcW w:w="1560" w:type="dxa"/>
            <w:shd w:val="clear" w:color="auto" w:fill="auto"/>
            <w:noWrap w:val="0"/>
            <w:vAlign w:val="center"/>
          </w:tcPr>
          <w:p w14:paraId="07D023F9">
            <w:pPr>
              <w:spacing w:line="360" w:lineRule="auto"/>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r>
      <w:tr w14:paraId="224345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noWrap w:val="0"/>
            <w:vAlign w:val="center"/>
          </w:tcPr>
          <w:p w14:paraId="2951D8E6">
            <w:pPr>
              <w:jc w:val="center"/>
              <w:rPr>
                <w:rFonts w:hint="eastAsia" w:eastAsia="宋体"/>
                <w:sz w:val="21"/>
                <w:szCs w:val="21"/>
                <w:highlight w:val="none"/>
                <w:lang w:val="en-US" w:eastAsia="zh-CN"/>
              </w:rPr>
            </w:pPr>
            <w:r>
              <w:rPr>
                <w:sz w:val="21"/>
                <w:szCs w:val="21"/>
                <w:highlight w:val="none"/>
              </w:rPr>
              <w:t>2.0</w:t>
            </w:r>
            <w:r>
              <w:rPr>
                <w:rFonts w:hint="eastAsia"/>
                <w:sz w:val="21"/>
                <w:szCs w:val="21"/>
                <w:highlight w:val="none"/>
                <w:lang w:val="en-US" w:eastAsia="zh-CN"/>
              </w:rPr>
              <w:t>4</w:t>
            </w:r>
          </w:p>
        </w:tc>
        <w:tc>
          <w:tcPr>
            <w:tcW w:w="5670" w:type="dxa"/>
            <w:noWrap w:val="0"/>
            <w:vAlign w:val="center"/>
          </w:tcPr>
          <w:p w14:paraId="0615585F">
            <w:pPr>
              <w:jc w:val="left"/>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《修订&lt;利润分配管理制度&gt;的议案》</w:t>
            </w:r>
          </w:p>
        </w:tc>
        <w:tc>
          <w:tcPr>
            <w:tcW w:w="1560" w:type="dxa"/>
            <w:noWrap w:val="0"/>
            <w:vAlign w:val="center"/>
          </w:tcPr>
          <w:p w14:paraId="088BD7E5">
            <w:pPr>
              <w:spacing w:line="360" w:lineRule="auto"/>
              <w:jc w:val="center"/>
              <w:rPr>
                <w:rFonts w:hint="eastAsia"/>
                <w:sz w:val="21"/>
                <w:szCs w:val="21"/>
                <w:highlight w:val="none"/>
              </w:rPr>
            </w:pPr>
            <w:r>
              <w:rPr>
                <w:rFonts w:hint="eastAsia"/>
                <w:sz w:val="21"/>
                <w:szCs w:val="21"/>
                <w:highlight w:val="none"/>
              </w:rPr>
              <w:t>√</w:t>
            </w:r>
          </w:p>
        </w:tc>
      </w:tr>
      <w:tr w14:paraId="06C91F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shd w:val="clear" w:color="auto" w:fill="auto"/>
            <w:noWrap w:val="0"/>
            <w:vAlign w:val="center"/>
          </w:tcPr>
          <w:p w14:paraId="2840C40F">
            <w:pPr>
              <w:jc w:val="center"/>
              <w:rPr>
                <w:rFonts w:hint="eastAsia" w:ascii="Times New Roman" w:hAnsi="Times New Roman" w:eastAsia="宋体" w:cs="Times New Roman"/>
                <w:kern w:val="2"/>
                <w:sz w:val="21"/>
                <w:szCs w:val="21"/>
                <w:highlight w:val="none"/>
                <w:lang w:val="en-US" w:eastAsia="zh-CN" w:bidi="ar-SA"/>
              </w:rPr>
            </w:pPr>
            <w:r>
              <w:rPr>
                <w:sz w:val="21"/>
                <w:szCs w:val="21"/>
                <w:highlight w:val="none"/>
              </w:rPr>
              <w:t>2.0</w:t>
            </w:r>
            <w:r>
              <w:rPr>
                <w:rFonts w:hint="eastAsia"/>
                <w:sz w:val="21"/>
                <w:szCs w:val="21"/>
                <w:highlight w:val="none"/>
                <w:lang w:val="en-US" w:eastAsia="zh-CN"/>
              </w:rPr>
              <w:t>5</w:t>
            </w:r>
          </w:p>
        </w:tc>
        <w:tc>
          <w:tcPr>
            <w:tcW w:w="5670" w:type="dxa"/>
            <w:noWrap w:val="0"/>
            <w:vAlign w:val="center"/>
          </w:tcPr>
          <w:p w14:paraId="6475D279">
            <w:pPr>
              <w:jc w:val="left"/>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《修订&lt;关联交易管理办法&gt;的议案》</w:t>
            </w:r>
          </w:p>
        </w:tc>
        <w:tc>
          <w:tcPr>
            <w:tcW w:w="1560" w:type="dxa"/>
            <w:noWrap w:val="0"/>
            <w:vAlign w:val="center"/>
          </w:tcPr>
          <w:p w14:paraId="7C085428">
            <w:pPr>
              <w:spacing w:line="360" w:lineRule="auto"/>
              <w:jc w:val="center"/>
              <w:rPr>
                <w:rFonts w:hint="eastAsia"/>
                <w:sz w:val="21"/>
                <w:szCs w:val="21"/>
                <w:highlight w:val="none"/>
              </w:rPr>
            </w:pPr>
            <w:r>
              <w:rPr>
                <w:rFonts w:hint="eastAsia"/>
                <w:sz w:val="21"/>
                <w:szCs w:val="21"/>
                <w:highlight w:val="none"/>
              </w:rPr>
              <w:t>√</w:t>
            </w:r>
          </w:p>
        </w:tc>
      </w:tr>
      <w:tr w14:paraId="2B47D5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shd w:val="clear" w:color="auto" w:fill="auto"/>
            <w:noWrap w:val="0"/>
            <w:vAlign w:val="center"/>
          </w:tcPr>
          <w:p w14:paraId="37C5F706">
            <w:pPr>
              <w:jc w:val="center"/>
              <w:rPr>
                <w:rFonts w:hint="eastAsia" w:ascii="Times New Roman" w:hAnsi="Times New Roman" w:eastAsia="宋体" w:cs="Times New Roman"/>
                <w:kern w:val="2"/>
                <w:sz w:val="21"/>
                <w:szCs w:val="21"/>
                <w:highlight w:val="none"/>
                <w:lang w:val="en-US" w:eastAsia="zh-CN" w:bidi="ar-SA"/>
              </w:rPr>
            </w:pPr>
            <w:r>
              <w:rPr>
                <w:sz w:val="21"/>
                <w:szCs w:val="21"/>
                <w:highlight w:val="none"/>
              </w:rPr>
              <w:t>2.0</w:t>
            </w:r>
            <w:r>
              <w:rPr>
                <w:rFonts w:hint="eastAsia"/>
                <w:sz w:val="21"/>
                <w:szCs w:val="21"/>
                <w:highlight w:val="none"/>
                <w:lang w:val="en-US" w:eastAsia="zh-CN"/>
              </w:rPr>
              <w:t>6</w:t>
            </w:r>
          </w:p>
        </w:tc>
        <w:tc>
          <w:tcPr>
            <w:tcW w:w="5670" w:type="dxa"/>
            <w:noWrap w:val="0"/>
            <w:vAlign w:val="center"/>
          </w:tcPr>
          <w:p w14:paraId="1D4CE8F0">
            <w:pPr>
              <w:jc w:val="left"/>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《修订&lt;对外投资管理制度&gt;的议案》</w:t>
            </w:r>
          </w:p>
        </w:tc>
        <w:tc>
          <w:tcPr>
            <w:tcW w:w="1560" w:type="dxa"/>
            <w:noWrap w:val="0"/>
            <w:vAlign w:val="center"/>
          </w:tcPr>
          <w:p w14:paraId="16AEE3D3">
            <w:pPr>
              <w:spacing w:line="360" w:lineRule="auto"/>
              <w:jc w:val="center"/>
              <w:rPr>
                <w:rFonts w:hint="eastAsia"/>
                <w:sz w:val="21"/>
                <w:szCs w:val="21"/>
                <w:highlight w:val="none"/>
              </w:rPr>
            </w:pPr>
            <w:r>
              <w:rPr>
                <w:rFonts w:hint="eastAsia"/>
                <w:sz w:val="21"/>
                <w:szCs w:val="21"/>
                <w:highlight w:val="none"/>
              </w:rPr>
              <w:t>√</w:t>
            </w:r>
          </w:p>
        </w:tc>
      </w:tr>
      <w:tr w14:paraId="7799D3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shd w:val="clear" w:color="auto" w:fill="auto"/>
            <w:noWrap w:val="0"/>
            <w:vAlign w:val="center"/>
          </w:tcPr>
          <w:p w14:paraId="3E941B9C">
            <w:pPr>
              <w:jc w:val="center"/>
              <w:rPr>
                <w:rFonts w:hint="eastAsia" w:ascii="Times New Roman" w:hAnsi="Times New Roman" w:eastAsia="宋体" w:cs="Times New Roman"/>
                <w:kern w:val="2"/>
                <w:sz w:val="21"/>
                <w:szCs w:val="21"/>
                <w:highlight w:val="none"/>
                <w:lang w:val="en-US" w:eastAsia="zh-CN" w:bidi="ar-SA"/>
              </w:rPr>
            </w:pPr>
            <w:r>
              <w:rPr>
                <w:sz w:val="21"/>
                <w:szCs w:val="21"/>
                <w:highlight w:val="none"/>
              </w:rPr>
              <w:t>2.0</w:t>
            </w:r>
            <w:r>
              <w:rPr>
                <w:rFonts w:hint="eastAsia"/>
                <w:sz w:val="21"/>
                <w:szCs w:val="21"/>
                <w:highlight w:val="none"/>
                <w:lang w:val="en-US" w:eastAsia="zh-CN"/>
              </w:rPr>
              <w:t>7</w:t>
            </w:r>
          </w:p>
        </w:tc>
        <w:tc>
          <w:tcPr>
            <w:tcW w:w="5670" w:type="dxa"/>
            <w:noWrap w:val="0"/>
            <w:vAlign w:val="center"/>
          </w:tcPr>
          <w:p w14:paraId="5C393B23">
            <w:pPr>
              <w:jc w:val="left"/>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《修订&lt;对外担保管理制度&gt;的议案》</w:t>
            </w:r>
          </w:p>
        </w:tc>
        <w:tc>
          <w:tcPr>
            <w:tcW w:w="1560" w:type="dxa"/>
            <w:noWrap w:val="0"/>
            <w:vAlign w:val="center"/>
          </w:tcPr>
          <w:p w14:paraId="44851306">
            <w:pPr>
              <w:spacing w:line="360" w:lineRule="auto"/>
              <w:jc w:val="center"/>
              <w:rPr>
                <w:rFonts w:hint="eastAsia"/>
                <w:sz w:val="21"/>
                <w:szCs w:val="21"/>
                <w:highlight w:val="none"/>
              </w:rPr>
            </w:pPr>
            <w:r>
              <w:rPr>
                <w:rFonts w:hint="eastAsia"/>
                <w:sz w:val="21"/>
                <w:szCs w:val="21"/>
                <w:highlight w:val="none"/>
              </w:rPr>
              <w:t>√</w:t>
            </w:r>
          </w:p>
        </w:tc>
      </w:tr>
      <w:tr w14:paraId="39299C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9" w:hRule="atLeast"/>
        </w:trPr>
        <w:tc>
          <w:tcPr>
            <w:tcW w:w="1809" w:type="dxa"/>
            <w:noWrap w:val="0"/>
            <w:vAlign w:val="center"/>
          </w:tcPr>
          <w:p w14:paraId="2881D812">
            <w:pPr>
              <w:jc w:val="center"/>
              <w:rPr>
                <w:rFonts w:hint="eastAsia" w:eastAsia="宋体"/>
                <w:sz w:val="21"/>
                <w:szCs w:val="21"/>
                <w:highlight w:val="none"/>
                <w:lang w:val="en-US" w:eastAsia="zh-CN"/>
              </w:rPr>
            </w:pPr>
            <w:r>
              <w:rPr>
                <w:sz w:val="21"/>
                <w:szCs w:val="21"/>
                <w:highlight w:val="none"/>
              </w:rPr>
              <w:t>2.0</w:t>
            </w:r>
            <w:r>
              <w:rPr>
                <w:rFonts w:hint="eastAsia"/>
                <w:sz w:val="21"/>
                <w:szCs w:val="21"/>
                <w:highlight w:val="none"/>
                <w:lang w:val="en-US" w:eastAsia="zh-CN"/>
              </w:rPr>
              <w:t>8</w:t>
            </w:r>
          </w:p>
        </w:tc>
        <w:tc>
          <w:tcPr>
            <w:tcW w:w="5670" w:type="dxa"/>
            <w:noWrap w:val="0"/>
            <w:vAlign w:val="center"/>
          </w:tcPr>
          <w:p w14:paraId="4D77EF6F">
            <w:pPr>
              <w:jc w:val="left"/>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《修订&lt;募集资金使用管理制度</w:t>
            </w:r>
            <w:r>
              <w:rPr>
                <w:rFonts w:hint="eastAsia" w:ascii="Times New Roman" w:hAnsi="Times New Roman" w:eastAsia="宋体" w:cs="Times New Roman"/>
                <w:b w:val="0"/>
                <w:bCs w:val="0"/>
                <w:color w:val="000000"/>
                <w:lang w:val="en-US" w:eastAsia="zh-CN"/>
              </w:rPr>
              <w:t>&gt;</w:t>
            </w:r>
            <w:r>
              <w:rPr>
                <w:rFonts w:hint="eastAsia" w:cs="Times New Roman"/>
                <w:b w:val="0"/>
                <w:bCs w:val="0"/>
                <w:color w:val="000000"/>
                <w:lang w:val="en-US" w:eastAsia="zh-CN"/>
              </w:rPr>
              <w:t>的议案</w:t>
            </w:r>
            <w:r>
              <w:rPr>
                <w:rFonts w:hint="eastAsia" w:ascii="Times New Roman" w:hAnsi="Times New Roman" w:cs="Times New Roman"/>
                <w:sz w:val="21"/>
                <w:szCs w:val="21"/>
                <w:highlight w:val="none"/>
                <w:lang w:val="en-US" w:eastAsia="zh-CN"/>
              </w:rPr>
              <w:t>》</w:t>
            </w:r>
          </w:p>
        </w:tc>
        <w:tc>
          <w:tcPr>
            <w:tcW w:w="1560" w:type="dxa"/>
            <w:noWrap w:val="0"/>
            <w:vAlign w:val="center"/>
          </w:tcPr>
          <w:p w14:paraId="3A059C3A">
            <w:pPr>
              <w:spacing w:line="360" w:lineRule="auto"/>
              <w:jc w:val="center"/>
              <w:rPr>
                <w:rFonts w:hint="eastAsia"/>
                <w:sz w:val="21"/>
                <w:szCs w:val="21"/>
                <w:highlight w:val="none"/>
              </w:rPr>
            </w:pPr>
            <w:r>
              <w:rPr>
                <w:rFonts w:hint="eastAsia"/>
                <w:sz w:val="21"/>
                <w:szCs w:val="21"/>
                <w:highlight w:val="none"/>
              </w:rPr>
              <w:t>√</w:t>
            </w:r>
          </w:p>
        </w:tc>
      </w:tr>
      <w:tr w14:paraId="31FDC1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9" w:hRule="atLeast"/>
        </w:trPr>
        <w:tc>
          <w:tcPr>
            <w:tcW w:w="1809" w:type="dxa"/>
            <w:noWrap w:val="0"/>
            <w:vAlign w:val="center"/>
          </w:tcPr>
          <w:p w14:paraId="1478F251">
            <w:pPr>
              <w:jc w:val="center"/>
              <w:rPr>
                <w:sz w:val="21"/>
                <w:szCs w:val="21"/>
                <w:highlight w:val="none"/>
              </w:rPr>
            </w:pPr>
            <w:r>
              <w:rPr>
                <w:rFonts w:hint="eastAsia"/>
                <w:sz w:val="21"/>
                <w:szCs w:val="21"/>
                <w:highlight w:val="none"/>
                <w:lang w:val="en-US" w:eastAsia="zh-CN"/>
              </w:rPr>
              <w:t>3</w:t>
            </w:r>
            <w:r>
              <w:rPr>
                <w:sz w:val="21"/>
                <w:szCs w:val="21"/>
                <w:highlight w:val="none"/>
              </w:rPr>
              <w:t>.00</w:t>
            </w:r>
          </w:p>
        </w:tc>
        <w:tc>
          <w:tcPr>
            <w:tcW w:w="5670" w:type="dxa"/>
            <w:noWrap w:val="0"/>
            <w:vAlign w:val="center"/>
          </w:tcPr>
          <w:p w14:paraId="7A899A08">
            <w:pPr>
              <w:jc w:val="left"/>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r>
              <w:rPr>
                <w:rFonts w:hint="eastAsia" w:cs="Times New Roman"/>
                <w:sz w:val="21"/>
                <w:szCs w:val="21"/>
                <w:highlight w:val="none"/>
                <w:lang w:val="en-US" w:eastAsia="zh-CN"/>
              </w:rPr>
              <w:t>关于</w:t>
            </w:r>
            <w:r>
              <w:rPr>
                <w:rFonts w:hint="eastAsia" w:ascii="Times New Roman" w:hAnsi="Times New Roman" w:cs="Times New Roman"/>
                <w:sz w:val="21"/>
                <w:szCs w:val="21"/>
                <w:highlight w:val="none"/>
                <w:lang w:val="en-US" w:eastAsia="zh-CN"/>
              </w:rPr>
              <w:t>公司董事薪酬与考核方案</w:t>
            </w:r>
            <w:r>
              <w:rPr>
                <w:rFonts w:hint="eastAsia" w:cs="Times New Roman"/>
                <w:sz w:val="21"/>
                <w:szCs w:val="21"/>
                <w:highlight w:val="none"/>
                <w:lang w:val="en-US" w:eastAsia="zh-CN"/>
              </w:rPr>
              <w:t>的议案</w:t>
            </w:r>
            <w:r>
              <w:rPr>
                <w:rFonts w:hint="eastAsia" w:ascii="Times New Roman" w:hAnsi="Times New Roman" w:cs="Times New Roman"/>
                <w:sz w:val="21"/>
                <w:szCs w:val="21"/>
                <w:highlight w:val="none"/>
                <w:lang w:val="en-US" w:eastAsia="zh-CN"/>
              </w:rPr>
              <w:t>》</w:t>
            </w:r>
          </w:p>
        </w:tc>
        <w:tc>
          <w:tcPr>
            <w:tcW w:w="1560" w:type="dxa"/>
            <w:noWrap w:val="0"/>
            <w:vAlign w:val="center"/>
          </w:tcPr>
          <w:p w14:paraId="75FA9E5C">
            <w:pPr>
              <w:spacing w:line="360" w:lineRule="auto"/>
              <w:jc w:val="center"/>
              <w:rPr>
                <w:rFonts w:hint="eastAsia"/>
                <w:sz w:val="21"/>
                <w:szCs w:val="21"/>
                <w:highlight w:val="none"/>
              </w:rPr>
            </w:pPr>
            <w:r>
              <w:rPr>
                <w:rFonts w:hint="eastAsia"/>
                <w:sz w:val="21"/>
                <w:szCs w:val="21"/>
                <w:highlight w:val="none"/>
              </w:rPr>
              <w:t>√</w:t>
            </w:r>
          </w:p>
        </w:tc>
      </w:tr>
    </w:tbl>
    <w:p w14:paraId="76952DC8">
      <w:pPr>
        <w:autoSpaceDE w:val="0"/>
        <w:autoSpaceDN w:val="0"/>
        <w:adjustRightInd w:val="0"/>
        <w:spacing w:line="500" w:lineRule="exact"/>
        <w:ind w:firstLine="480" w:firstLineChars="200"/>
        <w:rPr>
          <w:rFonts w:hint="eastAsia" w:cs="仿宋_GB2312"/>
          <w:kern w:val="0"/>
          <w:sz w:val="24"/>
          <w:szCs w:val="24"/>
          <w:highlight w:val="none"/>
        </w:rPr>
      </w:pPr>
      <w:r>
        <w:rPr>
          <w:rFonts w:hint="eastAsia" w:cs="仿宋_GB2312"/>
          <w:kern w:val="0"/>
          <w:sz w:val="24"/>
          <w:szCs w:val="24"/>
          <w:highlight w:val="none"/>
          <w:lang w:val="en-US" w:eastAsia="zh-CN"/>
        </w:rPr>
        <w:t>其中议案</w:t>
      </w:r>
      <w:r>
        <w:rPr>
          <w:rFonts w:hint="eastAsia" w:ascii="Times New Roman" w:hAnsi="Times New Roman" w:cs="仿宋_GB2312"/>
          <w:kern w:val="0"/>
          <w:sz w:val="24"/>
          <w:szCs w:val="24"/>
          <w:highlight w:val="none"/>
          <w:lang w:val="en-US" w:eastAsia="zh-CN"/>
        </w:rPr>
        <w:t>1.00</w:t>
      </w:r>
      <w:r>
        <w:rPr>
          <w:rFonts w:hint="eastAsia" w:cs="仿宋_GB2312"/>
          <w:kern w:val="0"/>
          <w:sz w:val="24"/>
          <w:szCs w:val="24"/>
          <w:highlight w:val="none"/>
          <w:lang w:val="en-US" w:eastAsia="zh-CN"/>
        </w:rPr>
        <w:t>为特别决议议案，需由出席会议的股东</w:t>
      </w:r>
      <w:r>
        <w:rPr>
          <w:rFonts w:hint="eastAsia" w:cs="仿宋_GB2312"/>
          <w:kern w:val="0"/>
          <w:sz w:val="24"/>
          <w:szCs w:val="24"/>
          <w:highlight w:val="none"/>
        </w:rPr>
        <w:t>（包括股东代理人）</w:t>
      </w:r>
      <w:r>
        <w:rPr>
          <w:rFonts w:hint="eastAsia" w:cs="仿宋_GB2312"/>
          <w:kern w:val="0"/>
          <w:sz w:val="24"/>
          <w:szCs w:val="24"/>
          <w:highlight w:val="none"/>
          <w:lang w:val="en-US" w:eastAsia="zh-CN"/>
        </w:rPr>
        <w:t>所持表决权的2/3以上通过；其余议案</w:t>
      </w:r>
      <w:r>
        <w:rPr>
          <w:rFonts w:hint="eastAsia" w:cs="仿宋_GB2312"/>
          <w:kern w:val="0"/>
          <w:sz w:val="24"/>
          <w:szCs w:val="24"/>
          <w:highlight w:val="none"/>
        </w:rPr>
        <w:t>为股东大会普通决议事项，由出席股东大会的股东（包括股东代理人）所持表决权的1/2以上通过。以上第</w:t>
      </w:r>
      <w:r>
        <w:rPr>
          <w:rFonts w:hint="eastAsia" w:cs="仿宋_GB2312"/>
          <w:kern w:val="0"/>
          <w:sz w:val="24"/>
          <w:szCs w:val="24"/>
          <w:highlight w:val="none"/>
          <w:lang w:val="en-US" w:eastAsia="zh-CN"/>
        </w:rPr>
        <w:t>3</w:t>
      </w:r>
      <w:r>
        <w:rPr>
          <w:rFonts w:cs="仿宋_GB2312"/>
          <w:kern w:val="0"/>
          <w:sz w:val="24"/>
          <w:szCs w:val="24"/>
          <w:highlight w:val="none"/>
        </w:rPr>
        <w:t>.00</w:t>
      </w:r>
      <w:r>
        <w:rPr>
          <w:rFonts w:hint="eastAsia" w:cs="仿宋_GB2312"/>
          <w:kern w:val="0"/>
          <w:sz w:val="24"/>
          <w:szCs w:val="24"/>
          <w:highlight w:val="none"/>
        </w:rPr>
        <w:t>项议案涉及关联</w:t>
      </w:r>
      <w:r>
        <w:rPr>
          <w:rFonts w:hint="eastAsia" w:cs="仿宋_GB2312"/>
          <w:kern w:val="0"/>
          <w:sz w:val="24"/>
          <w:szCs w:val="24"/>
          <w:highlight w:val="none"/>
          <w:lang w:val="en-US" w:eastAsia="zh-CN"/>
        </w:rPr>
        <w:t>关系</w:t>
      </w:r>
      <w:r>
        <w:rPr>
          <w:rFonts w:hint="eastAsia" w:cs="仿宋_GB2312"/>
          <w:kern w:val="0"/>
          <w:sz w:val="24"/>
          <w:szCs w:val="24"/>
          <w:highlight w:val="none"/>
        </w:rPr>
        <w:t>，关联股东需回避表决。</w:t>
      </w:r>
    </w:p>
    <w:p w14:paraId="2EFE0B31">
      <w:pPr>
        <w:autoSpaceDE w:val="0"/>
        <w:autoSpaceDN w:val="0"/>
        <w:adjustRightInd w:val="0"/>
        <w:spacing w:line="500" w:lineRule="exact"/>
        <w:ind w:firstLine="480" w:firstLineChars="200"/>
        <w:rPr>
          <w:rFonts w:hint="eastAsia" w:cs="仿宋_GB2312"/>
          <w:kern w:val="0"/>
          <w:sz w:val="24"/>
          <w:szCs w:val="24"/>
          <w:highlight w:val="none"/>
        </w:rPr>
      </w:pPr>
      <w:r>
        <w:rPr>
          <w:rFonts w:hint="eastAsia" w:cs="仿宋_GB2312"/>
          <w:kern w:val="0"/>
          <w:sz w:val="24"/>
          <w:szCs w:val="24"/>
          <w:highlight w:val="none"/>
        </w:rPr>
        <w:t>本次股东大会议案中影响中小投资者利益的重大事项，公司将对中小投资者（中小投资者是指除上市公司董事、监事、高级管理人员以及单独或者合计持有上市公司5%以上股份的股东以外的其他股东）的表决单独计票，单独计票结果将在本次股东大会决议公告中披露。</w:t>
      </w:r>
    </w:p>
    <w:p w14:paraId="2BA14B60">
      <w:pPr>
        <w:autoSpaceDE w:val="0"/>
        <w:autoSpaceDN w:val="0"/>
        <w:adjustRightInd w:val="0"/>
        <w:spacing w:line="500" w:lineRule="exact"/>
        <w:ind w:firstLine="480" w:firstLineChars="200"/>
        <w:rPr>
          <w:b/>
          <w:sz w:val="24"/>
          <w:szCs w:val="24"/>
          <w:highlight w:val="none"/>
        </w:rPr>
      </w:pPr>
      <w:r>
        <w:rPr>
          <w:rFonts w:hint="eastAsia" w:cs="仿宋_GB2312"/>
          <w:kern w:val="0"/>
          <w:sz w:val="24"/>
          <w:szCs w:val="24"/>
          <w:highlight w:val="none"/>
        </w:rPr>
        <w:t>以上议案已经于</w:t>
      </w:r>
      <w:r>
        <w:rPr>
          <w:rFonts w:hint="eastAsia" w:cs="仿宋_GB2312"/>
          <w:kern w:val="0"/>
          <w:sz w:val="24"/>
          <w:szCs w:val="24"/>
          <w:highlight w:val="none"/>
          <w:lang w:eastAsia="zh-CN"/>
        </w:rPr>
        <w:t>2025</w:t>
      </w:r>
      <w:r>
        <w:rPr>
          <w:rFonts w:hint="eastAsia" w:cs="仿宋_GB2312"/>
          <w:kern w:val="0"/>
          <w:sz w:val="24"/>
          <w:szCs w:val="24"/>
          <w:highlight w:val="none"/>
        </w:rPr>
        <w:t>年</w:t>
      </w:r>
      <w:r>
        <w:rPr>
          <w:rFonts w:hint="eastAsia" w:cs="仿宋_GB2312"/>
          <w:kern w:val="0"/>
          <w:sz w:val="24"/>
          <w:szCs w:val="24"/>
          <w:highlight w:val="none"/>
          <w:lang w:val="en-US" w:eastAsia="zh-CN"/>
        </w:rPr>
        <w:t>6</w:t>
      </w:r>
      <w:r>
        <w:rPr>
          <w:rFonts w:hint="eastAsia" w:cs="仿宋_GB2312"/>
          <w:kern w:val="0"/>
          <w:sz w:val="24"/>
          <w:szCs w:val="24"/>
          <w:highlight w:val="none"/>
        </w:rPr>
        <w:t>月</w:t>
      </w:r>
      <w:r>
        <w:rPr>
          <w:rFonts w:hint="eastAsia" w:cs="仿宋_GB2312"/>
          <w:kern w:val="0"/>
          <w:sz w:val="24"/>
          <w:szCs w:val="24"/>
          <w:highlight w:val="none"/>
          <w:lang w:val="en-US" w:eastAsia="zh-CN"/>
        </w:rPr>
        <w:t>6</w:t>
      </w:r>
      <w:r>
        <w:rPr>
          <w:rFonts w:hint="eastAsia" w:cs="仿宋_GB2312"/>
          <w:kern w:val="0"/>
          <w:sz w:val="24"/>
          <w:szCs w:val="24"/>
          <w:highlight w:val="none"/>
        </w:rPr>
        <w:t>日召开的公司</w:t>
      </w:r>
      <w:r>
        <w:rPr>
          <w:rFonts w:hint="eastAsia" w:cs="仿宋_GB2312"/>
          <w:kern w:val="0"/>
          <w:sz w:val="24"/>
          <w:szCs w:val="24"/>
          <w:highlight w:val="none"/>
          <w:lang w:val="en-US" w:eastAsia="zh-CN"/>
        </w:rPr>
        <w:t>第六届董事会薪酬与考核委员会第三次会议、</w:t>
      </w:r>
      <w:r>
        <w:rPr>
          <w:rFonts w:hint="eastAsia" w:ascii="宋体" w:hAnsi="宋体"/>
          <w:color w:val="000000"/>
          <w:sz w:val="24"/>
          <w:highlight w:val="none"/>
          <w:lang w:eastAsia="zh-CN"/>
        </w:rPr>
        <w:t>第六届董事会第十</w:t>
      </w:r>
      <w:r>
        <w:rPr>
          <w:rFonts w:hint="eastAsia" w:ascii="宋体" w:hAnsi="宋体"/>
          <w:color w:val="000000"/>
          <w:sz w:val="24"/>
          <w:highlight w:val="none"/>
          <w:lang w:val="en-US" w:eastAsia="zh-CN"/>
        </w:rPr>
        <w:t>四</w:t>
      </w:r>
      <w:r>
        <w:rPr>
          <w:rFonts w:hint="eastAsia" w:ascii="宋体" w:hAnsi="宋体"/>
          <w:color w:val="000000"/>
          <w:sz w:val="24"/>
          <w:highlight w:val="none"/>
          <w:lang w:eastAsia="zh-CN"/>
        </w:rPr>
        <w:t>次会议</w:t>
      </w:r>
      <w:r>
        <w:rPr>
          <w:rFonts w:hint="eastAsia" w:cs="仿宋_GB2312"/>
          <w:kern w:val="0"/>
          <w:sz w:val="24"/>
          <w:szCs w:val="24"/>
          <w:highlight w:val="none"/>
        </w:rPr>
        <w:t>、第六届监事会第</w:t>
      </w:r>
      <w:r>
        <w:rPr>
          <w:rFonts w:hint="eastAsia" w:cs="仿宋_GB2312"/>
          <w:kern w:val="0"/>
          <w:sz w:val="24"/>
          <w:szCs w:val="24"/>
          <w:highlight w:val="none"/>
          <w:lang w:val="en-US" w:eastAsia="zh-CN"/>
        </w:rPr>
        <w:t>十一</w:t>
      </w:r>
      <w:r>
        <w:rPr>
          <w:rFonts w:hint="eastAsia" w:cs="仿宋_GB2312"/>
          <w:kern w:val="0"/>
          <w:sz w:val="24"/>
          <w:szCs w:val="24"/>
          <w:highlight w:val="none"/>
        </w:rPr>
        <w:t>次会议审议通过，具体内容详见公司于</w:t>
      </w:r>
      <w:r>
        <w:rPr>
          <w:rFonts w:hint="eastAsia" w:cs="仿宋_GB2312"/>
          <w:kern w:val="0"/>
          <w:sz w:val="24"/>
          <w:szCs w:val="24"/>
          <w:highlight w:val="none"/>
          <w:lang w:eastAsia="zh-CN"/>
        </w:rPr>
        <w:t>2025</w:t>
      </w:r>
      <w:r>
        <w:rPr>
          <w:rFonts w:hint="eastAsia" w:cs="仿宋_GB2312"/>
          <w:kern w:val="0"/>
          <w:sz w:val="24"/>
          <w:szCs w:val="24"/>
          <w:highlight w:val="none"/>
        </w:rPr>
        <w:t>年</w:t>
      </w:r>
      <w:r>
        <w:rPr>
          <w:rFonts w:hint="eastAsia" w:cs="仿宋_GB2312"/>
          <w:kern w:val="0"/>
          <w:sz w:val="24"/>
          <w:szCs w:val="24"/>
          <w:highlight w:val="none"/>
          <w:lang w:val="en-US" w:eastAsia="zh-CN"/>
        </w:rPr>
        <w:t>6</w:t>
      </w:r>
      <w:r>
        <w:rPr>
          <w:rFonts w:hint="eastAsia" w:cs="仿宋_GB2312"/>
          <w:kern w:val="0"/>
          <w:sz w:val="24"/>
          <w:szCs w:val="24"/>
          <w:highlight w:val="none"/>
        </w:rPr>
        <w:t>月</w:t>
      </w:r>
      <w:r>
        <w:rPr>
          <w:rFonts w:hint="eastAsia" w:cs="仿宋_GB2312"/>
          <w:kern w:val="0"/>
          <w:sz w:val="24"/>
          <w:szCs w:val="24"/>
          <w:highlight w:val="none"/>
          <w:lang w:val="en-US" w:eastAsia="zh-CN"/>
        </w:rPr>
        <w:t>7</w:t>
      </w:r>
      <w:r>
        <w:rPr>
          <w:rFonts w:hint="eastAsia" w:cs="仿宋_GB2312"/>
          <w:kern w:val="0"/>
          <w:sz w:val="24"/>
          <w:szCs w:val="24"/>
          <w:highlight w:val="none"/>
        </w:rPr>
        <w:t>日刊登</w:t>
      </w:r>
      <w:r>
        <w:rPr>
          <w:rFonts w:hint="eastAsia" w:cs="仿宋_GB2312"/>
          <w:kern w:val="0"/>
          <w:sz w:val="24"/>
          <w:szCs w:val="24"/>
          <w:highlight w:val="none"/>
          <w:lang w:val="en-US" w:eastAsia="zh-CN"/>
        </w:rPr>
        <w:t>在</w:t>
      </w:r>
      <w:r>
        <w:rPr>
          <w:rFonts w:hint="eastAsia" w:cs="仿宋_GB2312"/>
          <w:kern w:val="0"/>
          <w:sz w:val="24"/>
          <w:szCs w:val="24"/>
          <w:highlight w:val="none"/>
        </w:rPr>
        <w:t>中国证监会指定的信息披露网站巨潮资讯网（</w:t>
      </w:r>
      <w:r>
        <w:rPr>
          <w:rFonts w:hint="eastAsia" w:cs="仿宋_GB2312"/>
          <w:kern w:val="0"/>
          <w:sz w:val="24"/>
          <w:szCs w:val="24"/>
          <w:highlight w:val="none"/>
          <w:lang w:eastAsia="zh-CN"/>
        </w:rPr>
        <w:t>http://www.cninfo.com.cn</w:t>
      </w:r>
      <w:r>
        <w:rPr>
          <w:rFonts w:hint="eastAsia" w:cs="仿宋_GB2312"/>
          <w:kern w:val="0"/>
          <w:sz w:val="24"/>
          <w:szCs w:val="24"/>
          <w:highlight w:val="none"/>
        </w:rPr>
        <w:t>）上的</w:t>
      </w:r>
      <w:r>
        <w:rPr>
          <w:rFonts w:hint="eastAsia" w:cs="仿宋_GB2312"/>
          <w:kern w:val="0"/>
          <w:sz w:val="24"/>
          <w:szCs w:val="24"/>
          <w:highlight w:val="none"/>
          <w:lang w:val="en-US" w:eastAsia="zh-CN"/>
        </w:rPr>
        <w:t>相关公告</w:t>
      </w:r>
      <w:r>
        <w:rPr>
          <w:rFonts w:hint="eastAsia" w:cs="仿宋_GB2312"/>
          <w:kern w:val="0"/>
          <w:sz w:val="24"/>
          <w:szCs w:val="24"/>
          <w:highlight w:val="none"/>
        </w:rPr>
        <w:t>。</w:t>
      </w:r>
    </w:p>
    <w:p w14:paraId="40C7618F">
      <w:pPr>
        <w:autoSpaceDE w:val="0"/>
        <w:autoSpaceDN w:val="0"/>
        <w:adjustRightInd w:val="0"/>
        <w:spacing w:line="500" w:lineRule="exact"/>
        <w:ind w:firstLine="482"/>
        <w:rPr>
          <w:rFonts w:cs="仿宋_GB2312"/>
          <w:kern w:val="0"/>
          <w:sz w:val="24"/>
          <w:szCs w:val="24"/>
          <w:highlight w:val="none"/>
        </w:rPr>
      </w:pPr>
      <w:r>
        <w:rPr>
          <w:rFonts w:hint="eastAsia"/>
          <w:b/>
          <w:sz w:val="24"/>
          <w:szCs w:val="24"/>
          <w:highlight w:val="none"/>
        </w:rPr>
        <w:t>三、现场会议登记方法</w:t>
      </w:r>
      <w:bookmarkEnd w:id="7"/>
      <w:bookmarkEnd w:id="8"/>
      <w:bookmarkEnd w:id="9"/>
    </w:p>
    <w:p w14:paraId="70963435">
      <w:pPr>
        <w:spacing w:line="500" w:lineRule="exact"/>
        <w:ind w:firstLine="480" w:firstLineChars="200"/>
        <w:rPr>
          <w:sz w:val="24"/>
          <w:szCs w:val="24"/>
          <w:highlight w:val="none"/>
        </w:rPr>
      </w:pPr>
      <w:r>
        <w:rPr>
          <w:rFonts w:hint="eastAsia"/>
          <w:sz w:val="24"/>
          <w:szCs w:val="24"/>
          <w:highlight w:val="none"/>
        </w:rPr>
        <w:t>（一）登记方式</w:t>
      </w:r>
    </w:p>
    <w:p w14:paraId="596B1F49">
      <w:pPr>
        <w:spacing w:line="500" w:lineRule="exact"/>
        <w:ind w:firstLine="480" w:firstLineChars="200"/>
        <w:rPr>
          <w:sz w:val="24"/>
          <w:szCs w:val="24"/>
          <w:highlight w:val="none"/>
        </w:rPr>
      </w:pPr>
      <w:r>
        <w:rPr>
          <w:rFonts w:hint="eastAsia"/>
          <w:sz w:val="24"/>
          <w:szCs w:val="24"/>
          <w:highlight w:val="none"/>
        </w:rPr>
        <w:t>1、法人股东应由法定代表人或委托的代理人出席会议。法定代表人出席会议的，应出示本人身份证、能证明其具有法定代表人资格的有效证明、股票账户卡办理登记手续；委托代理人出席会议的，代理人应出示本人身份证、法人股东单位依法出具的书面授权委托书办理登记手续。</w:t>
      </w:r>
    </w:p>
    <w:p w14:paraId="7784A19A">
      <w:pPr>
        <w:spacing w:line="500" w:lineRule="exact"/>
        <w:ind w:firstLine="480" w:firstLineChars="200"/>
        <w:rPr>
          <w:sz w:val="24"/>
          <w:szCs w:val="24"/>
          <w:highlight w:val="none"/>
        </w:rPr>
      </w:pPr>
      <w:r>
        <w:rPr>
          <w:rFonts w:hint="eastAsia"/>
          <w:sz w:val="24"/>
          <w:szCs w:val="24"/>
          <w:highlight w:val="none"/>
        </w:rPr>
        <w:t>2、个人股东亲自出席会议的，应出示本人身份证或其他能够表明其身份的有效证件或证明、股票账户卡办理登记手续；委托代理他人出席会议的，应出示本人有效身份证件、股票账户卡、股东授权委托书办理登记手续。</w:t>
      </w:r>
    </w:p>
    <w:p w14:paraId="5BB21FAB">
      <w:pPr>
        <w:spacing w:line="500" w:lineRule="exact"/>
        <w:ind w:firstLine="480" w:firstLineChars="200"/>
        <w:rPr>
          <w:sz w:val="24"/>
          <w:szCs w:val="24"/>
          <w:highlight w:val="none"/>
        </w:rPr>
      </w:pPr>
      <w:r>
        <w:rPr>
          <w:rFonts w:hint="eastAsia"/>
          <w:sz w:val="24"/>
          <w:szCs w:val="24"/>
          <w:highlight w:val="none"/>
        </w:rPr>
        <w:t>3、代理投票授权委托书由委托人授权他人签署的，授权签署的授权书或者其他授权文件应当经过公证。经公证的授权书或者其他授权文件，和投票代理委托书均需一并提交（参见附件二）。</w:t>
      </w:r>
    </w:p>
    <w:p w14:paraId="19EF8123">
      <w:pPr>
        <w:spacing w:line="500" w:lineRule="exact"/>
        <w:ind w:firstLine="480" w:firstLineChars="200"/>
        <w:rPr>
          <w:sz w:val="24"/>
          <w:szCs w:val="24"/>
          <w:highlight w:val="none"/>
        </w:rPr>
      </w:pPr>
      <w:r>
        <w:rPr>
          <w:rFonts w:hint="eastAsia"/>
          <w:sz w:val="24"/>
          <w:szCs w:val="24"/>
          <w:highlight w:val="none"/>
        </w:rPr>
        <w:t>4、异地股东可采用信函或传真的方式登记。股东请仔细填写《股东参会登记表》（参见附件三），以便登记确认。</w:t>
      </w:r>
    </w:p>
    <w:p w14:paraId="0E71F92C">
      <w:pPr>
        <w:spacing w:line="500" w:lineRule="exact"/>
        <w:ind w:firstLine="480" w:firstLineChars="200"/>
        <w:rPr>
          <w:sz w:val="24"/>
          <w:szCs w:val="24"/>
          <w:highlight w:val="none"/>
        </w:rPr>
      </w:pPr>
      <w:r>
        <w:rPr>
          <w:rFonts w:hint="eastAsia"/>
          <w:sz w:val="24"/>
          <w:szCs w:val="24"/>
          <w:highlight w:val="none"/>
        </w:rPr>
        <w:t>（二）现场登记日自</w:t>
      </w:r>
      <w:r>
        <w:rPr>
          <w:rFonts w:hint="eastAsia" w:cs="仿宋_GB2312"/>
          <w:kern w:val="0"/>
          <w:sz w:val="24"/>
          <w:szCs w:val="24"/>
          <w:highlight w:val="none"/>
          <w:lang w:eastAsia="zh-CN"/>
        </w:rPr>
        <w:t>2025</w:t>
      </w:r>
      <w:r>
        <w:rPr>
          <w:rFonts w:hint="eastAsia" w:cs="仿宋_GB2312"/>
          <w:kern w:val="0"/>
          <w:sz w:val="24"/>
          <w:szCs w:val="24"/>
          <w:highlight w:val="none"/>
        </w:rPr>
        <w:t>年</w:t>
      </w:r>
      <w:r>
        <w:rPr>
          <w:rFonts w:hint="eastAsia" w:cs="仿宋_GB2312"/>
          <w:kern w:val="0"/>
          <w:sz w:val="24"/>
          <w:szCs w:val="24"/>
          <w:highlight w:val="none"/>
          <w:lang w:val="en-US" w:eastAsia="zh-CN"/>
        </w:rPr>
        <w:t>6</w:t>
      </w:r>
      <w:r>
        <w:rPr>
          <w:rFonts w:hint="eastAsia" w:cs="仿宋_GB2312"/>
          <w:kern w:val="0"/>
          <w:sz w:val="24"/>
          <w:szCs w:val="24"/>
          <w:highlight w:val="none"/>
        </w:rPr>
        <w:t>月</w:t>
      </w:r>
      <w:r>
        <w:rPr>
          <w:rFonts w:hint="eastAsia" w:cs="仿宋_GB2312"/>
          <w:kern w:val="0"/>
          <w:sz w:val="24"/>
          <w:szCs w:val="24"/>
          <w:highlight w:val="none"/>
          <w:lang w:val="en-US" w:eastAsia="zh-CN"/>
        </w:rPr>
        <w:t>16</w:t>
      </w:r>
      <w:r>
        <w:rPr>
          <w:rFonts w:hint="eastAsia" w:cs="仿宋_GB2312"/>
          <w:kern w:val="0"/>
          <w:sz w:val="24"/>
          <w:szCs w:val="24"/>
          <w:highlight w:val="none"/>
        </w:rPr>
        <w:t>日</w:t>
      </w:r>
      <w:r>
        <w:rPr>
          <w:rFonts w:hint="eastAsia"/>
          <w:sz w:val="24"/>
          <w:szCs w:val="24"/>
          <w:highlight w:val="none"/>
        </w:rPr>
        <w:t>下午收市起至</w:t>
      </w:r>
      <w:r>
        <w:rPr>
          <w:rFonts w:hint="eastAsia" w:cs="仿宋_GB2312"/>
          <w:kern w:val="0"/>
          <w:sz w:val="24"/>
          <w:szCs w:val="24"/>
          <w:highlight w:val="none"/>
          <w:lang w:eastAsia="zh-CN"/>
        </w:rPr>
        <w:t>2025</w:t>
      </w:r>
      <w:r>
        <w:rPr>
          <w:rFonts w:hint="eastAsia" w:cs="仿宋_GB2312"/>
          <w:kern w:val="0"/>
          <w:sz w:val="24"/>
          <w:szCs w:val="24"/>
          <w:highlight w:val="none"/>
        </w:rPr>
        <w:t>年</w:t>
      </w:r>
      <w:r>
        <w:rPr>
          <w:rFonts w:hint="eastAsia" w:cs="仿宋_GB2312"/>
          <w:kern w:val="0"/>
          <w:sz w:val="24"/>
          <w:szCs w:val="24"/>
          <w:highlight w:val="none"/>
          <w:lang w:val="en-US" w:eastAsia="zh-CN"/>
        </w:rPr>
        <w:t>6</w:t>
      </w:r>
      <w:r>
        <w:rPr>
          <w:rFonts w:hint="eastAsia" w:cs="仿宋_GB2312"/>
          <w:kern w:val="0"/>
          <w:sz w:val="24"/>
          <w:szCs w:val="24"/>
          <w:highlight w:val="none"/>
        </w:rPr>
        <w:t>月</w:t>
      </w:r>
      <w:r>
        <w:rPr>
          <w:rFonts w:hint="eastAsia" w:cs="仿宋_GB2312"/>
          <w:kern w:val="0"/>
          <w:sz w:val="24"/>
          <w:szCs w:val="24"/>
          <w:highlight w:val="none"/>
          <w:lang w:val="en-US" w:eastAsia="zh-CN"/>
        </w:rPr>
        <w:t>23</w:t>
      </w:r>
      <w:r>
        <w:rPr>
          <w:rFonts w:hint="eastAsia" w:cs="仿宋_GB2312"/>
          <w:kern w:val="0"/>
          <w:sz w:val="24"/>
          <w:szCs w:val="24"/>
          <w:highlight w:val="none"/>
        </w:rPr>
        <w:t>日</w:t>
      </w:r>
      <w:r>
        <w:rPr>
          <w:rFonts w:hint="eastAsia"/>
          <w:sz w:val="24"/>
          <w:szCs w:val="24"/>
          <w:highlight w:val="none"/>
        </w:rPr>
        <w:t>下午1</w:t>
      </w:r>
      <w:r>
        <w:rPr>
          <w:rFonts w:hint="eastAsia"/>
          <w:sz w:val="24"/>
          <w:szCs w:val="24"/>
          <w:highlight w:val="none"/>
          <w:lang w:val="en-US" w:eastAsia="zh-CN"/>
        </w:rPr>
        <w:t>4</w:t>
      </w:r>
      <w:r>
        <w:rPr>
          <w:rFonts w:hint="eastAsia"/>
          <w:sz w:val="24"/>
          <w:szCs w:val="24"/>
          <w:highlight w:val="none"/>
        </w:rPr>
        <w:t>:</w:t>
      </w:r>
      <w:r>
        <w:rPr>
          <w:rFonts w:hint="eastAsia"/>
          <w:sz w:val="24"/>
          <w:szCs w:val="24"/>
          <w:highlight w:val="none"/>
          <w:lang w:val="en-US" w:eastAsia="zh-CN"/>
        </w:rPr>
        <w:t>3</w:t>
      </w:r>
      <w:r>
        <w:rPr>
          <w:sz w:val="24"/>
          <w:szCs w:val="24"/>
          <w:highlight w:val="none"/>
        </w:rPr>
        <w:t>0</w:t>
      </w:r>
      <w:r>
        <w:rPr>
          <w:rFonts w:hint="eastAsia"/>
          <w:sz w:val="24"/>
          <w:szCs w:val="24"/>
          <w:highlight w:val="none"/>
        </w:rPr>
        <w:t>前结束。</w:t>
      </w:r>
    </w:p>
    <w:p w14:paraId="14D77285">
      <w:pPr>
        <w:spacing w:line="500" w:lineRule="exact"/>
        <w:ind w:firstLine="480" w:firstLineChars="200"/>
        <w:rPr>
          <w:sz w:val="24"/>
          <w:szCs w:val="24"/>
          <w:highlight w:val="none"/>
        </w:rPr>
      </w:pPr>
      <w:r>
        <w:rPr>
          <w:rFonts w:hint="eastAsia"/>
          <w:sz w:val="24"/>
          <w:szCs w:val="24"/>
          <w:highlight w:val="none"/>
        </w:rPr>
        <w:t>（三）登记地点及委托书送达地点：公司董事会办公室。</w:t>
      </w:r>
    </w:p>
    <w:p w14:paraId="4BC40DC2">
      <w:pPr>
        <w:autoSpaceDE w:val="0"/>
        <w:autoSpaceDN w:val="0"/>
        <w:adjustRightInd w:val="0"/>
        <w:spacing w:line="500" w:lineRule="exact"/>
        <w:ind w:firstLine="482" w:firstLineChars="200"/>
        <w:rPr>
          <w:b/>
          <w:sz w:val="24"/>
          <w:szCs w:val="24"/>
          <w:highlight w:val="none"/>
        </w:rPr>
      </w:pPr>
      <w:r>
        <w:rPr>
          <w:rFonts w:hint="eastAsia"/>
          <w:b/>
          <w:sz w:val="24"/>
          <w:szCs w:val="24"/>
          <w:highlight w:val="none"/>
        </w:rPr>
        <w:t>四、网络投票的具体操作流程</w:t>
      </w:r>
    </w:p>
    <w:p w14:paraId="14EC738C">
      <w:pPr>
        <w:spacing w:line="500" w:lineRule="exact"/>
        <w:ind w:firstLine="480" w:firstLineChars="200"/>
        <w:rPr>
          <w:sz w:val="24"/>
          <w:szCs w:val="24"/>
          <w:highlight w:val="none"/>
        </w:rPr>
      </w:pPr>
      <w:r>
        <w:rPr>
          <w:rFonts w:hint="eastAsia"/>
          <w:sz w:val="24"/>
          <w:szCs w:val="24"/>
          <w:highlight w:val="none"/>
        </w:rPr>
        <w:t>本次股东大会上，股东可以通过深圳证券交易所交易系统和互联网投票系统（地址为：http://wltp.cninfo.com.cn）参加投票，网络投票的具体操作流程（参见附件一）。</w:t>
      </w:r>
    </w:p>
    <w:p w14:paraId="38064385">
      <w:pPr>
        <w:autoSpaceDE w:val="0"/>
        <w:autoSpaceDN w:val="0"/>
        <w:adjustRightInd w:val="0"/>
        <w:spacing w:line="500" w:lineRule="exact"/>
        <w:ind w:firstLine="482"/>
        <w:rPr>
          <w:b/>
          <w:sz w:val="24"/>
          <w:szCs w:val="24"/>
          <w:highlight w:val="none"/>
        </w:rPr>
      </w:pPr>
      <w:r>
        <w:rPr>
          <w:rFonts w:hint="eastAsia"/>
          <w:b/>
          <w:sz w:val="24"/>
          <w:szCs w:val="24"/>
          <w:highlight w:val="none"/>
        </w:rPr>
        <w:t>五、其他事项</w:t>
      </w:r>
    </w:p>
    <w:p w14:paraId="37815045">
      <w:pPr>
        <w:spacing w:line="500" w:lineRule="exact"/>
        <w:ind w:firstLine="480" w:firstLineChars="200"/>
        <w:rPr>
          <w:rFonts w:hint="eastAsia" w:eastAsia="宋体" w:cs="仿宋_GB2312"/>
          <w:kern w:val="0"/>
          <w:sz w:val="24"/>
          <w:szCs w:val="24"/>
          <w:highlight w:val="none"/>
          <w:lang w:val="en-US" w:eastAsia="zh-CN"/>
        </w:rPr>
      </w:pPr>
      <w:r>
        <w:rPr>
          <w:rFonts w:hint="eastAsia" w:cs="仿宋_GB2312"/>
          <w:kern w:val="0"/>
          <w:sz w:val="24"/>
          <w:szCs w:val="24"/>
          <w:highlight w:val="none"/>
        </w:rPr>
        <w:t>1. 联系人：徐庆荣、</w:t>
      </w:r>
      <w:r>
        <w:rPr>
          <w:rFonts w:hint="eastAsia" w:cs="仿宋_GB2312"/>
          <w:kern w:val="0"/>
          <w:sz w:val="24"/>
          <w:szCs w:val="24"/>
          <w:highlight w:val="none"/>
          <w:lang w:val="en-US" w:eastAsia="zh-CN"/>
        </w:rPr>
        <w:t>李群</w:t>
      </w:r>
    </w:p>
    <w:p w14:paraId="476BB2FF">
      <w:pPr>
        <w:spacing w:line="500" w:lineRule="exact"/>
        <w:ind w:firstLine="480" w:firstLineChars="200"/>
        <w:rPr>
          <w:rFonts w:cs="仿宋_GB2312"/>
          <w:kern w:val="0"/>
          <w:sz w:val="24"/>
          <w:szCs w:val="24"/>
          <w:highlight w:val="none"/>
        </w:rPr>
      </w:pPr>
      <w:r>
        <w:rPr>
          <w:rFonts w:hint="eastAsia" w:cs="仿宋_GB2312"/>
          <w:kern w:val="0"/>
          <w:sz w:val="24"/>
          <w:szCs w:val="24"/>
          <w:highlight w:val="none"/>
        </w:rPr>
        <w:t>2. 电话号码：020-3205 2295</w:t>
      </w:r>
    </w:p>
    <w:p w14:paraId="6ECB10E9">
      <w:pPr>
        <w:spacing w:line="500" w:lineRule="exact"/>
        <w:ind w:firstLine="480" w:firstLineChars="200"/>
        <w:rPr>
          <w:rFonts w:cs="仿宋_GB2312"/>
          <w:kern w:val="0"/>
          <w:sz w:val="24"/>
          <w:szCs w:val="24"/>
          <w:highlight w:val="none"/>
        </w:rPr>
      </w:pPr>
      <w:r>
        <w:rPr>
          <w:rFonts w:hint="eastAsia" w:cs="仿宋_GB2312"/>
          <w:kern w:val="0"/>
          <w:sz w:val="24"/>
          <w:szCs w:val="24"/>
          <w:highlight w:val="none"/>
          <w:lang w:val="en-US" w:eastAsia="zh-CN"/>
        </w:rPr>
        <w:t>3</w:t>
      </w:r>
      <w:r>
        <w:rPr>
          <w:rFonts w:hint="eastAsia" w:cs="仿宋_GB2312"/>
          <w:kern w:val="0"/>
          <w:sz w:val="24"/>
          <w:szCs w:val="24"/>
          <w:highlight w:val="none"/>
        </w:rPr>
        <w:t>. 电子邮箱：</w:t>
      </w:r>
      <w:r>
        <w:rPr>
          <w:highlight w:val="none"/>
        </w:rPr>
        <w:fldChar w:fldCharType="begin"/>
      </w:r>
      <w:r>
        <w:rPr>
          <w:highlight w:val="none"/>
        </w:rPr>
        <w:instrText xml:space="preserve"> HYPERLINK "mailto:ir@guanhaobio.com" </w:instrText>
      </w:r>
      <w:r>
        <w:rPr>
          <w:highlight w:val="none"/>
        </w:rPr>
        <w:fldChar w:fldCharType="separate"/>
      </w:r>
      <w:r>
        <w:rPr>
          <w:rFonts w:hint="eastAsia" w:cs="仿宋_GB2312"/>
          <w:kern w:val="0"/>
          <w:sz w:val="24"/>
          <w:szCs w:val="24"/>
          <w:highlight w:val="none"/>
        </w:rPr>
        <w:t>ir@guanhaobio.com</w:t>
      </w:r>
      <w:r>
        <w:rPr>
          <w:rFonts w:hint="eastAsia" w:cs="仿宋_GB2312"/>
          <w:kern w:val="0"/>
          <w:sz w:val="24"/>
          <w:szCs w:val="24"/>
          <w:highlight w:val="none"/>
        </w:rPr>
        <w:fldChar w:fldCharType="end"/>
      </w:r>
    </w:p>
    <w:p w14:paraId="3C4BBF45">
      <w:pPr>
        <w:spacing w:line="500" w:lineRule="exact"/>
        <w:ind w:firstLine="480" w:firstLineChars="200"/>
        <w:rPr>
          <w:rFonts w:cs="仿宋_GB2312"/>
          <w:kern w:val="0"/>
          <w:sz w:val="24"/>
          <w:szCs w:val="24"/>
          <w:highlight w:val="none"/>
        </w:rPr>
      </w:pPr>
      <w:r>
        <w:rPr>
          <w:rFonts w:hint="eastAsia" w:cs="仿宋_GB2312"/>
          <w:kern w:val="0"/>
          <w:sz w:val="24"/>
          <w:szCs w:val="24"/>
          <w:highlight w:val="none"/>
          <w:lang w:val="en-US" w:eastAsia="zh-CN"/>
        </w:rPr>
        <w:t>4</w:t>
      </w:r>
      <w:r>
        <w:rPr>
          <w:rFonts w:hint="eastAsia" w:cs="仿宋_GB2312"/>
          <w:kern w:val="0"/>
          <w:sz w:val="24"/>
          <w:szCs w:val="24"/>
          <w:highlight w:val="none"/>
        </w:rPr>
        <w:t>. 公司地址：广东省广州市黄埔区玉岩路12号</w:t>
      </w:r>
    </w:p>
    <w:p w14:paraId="5B9ABD8B">
      <w:pPr>
        <w:spacing w:line="500" w:lineRule="exact"/>
        <w:ind w:firstLine="480" w:firstLineChars="200"/>
        <w:rPr>
          <w:rFonts w:cs="仿宋_GB2312"/>
          <w:kern w:val="0"/>
          <w:sz w:val="24"/>
          <w:szCs w:val="24"/>
          <w:highlight w:val="none"/>
        </w:rPr>
      </w:pPr>
      <w:r>
        <w:rPr>
          <w:rFonts w:hint="eastAsia" w:cs="仿宋_GB2312"/>
          <w:kern w:val="0"/>
          <w:sz w:val="24"/>
          <w:szCs w:val="24"/>
          <w:highlight w:val="none"/>
          <w:lang w:val="en-US" w:eastAsia="zh-CN"/>
        </w:rPr>
        <w:t>5</w:t>
      </w:r>
      <w:r>
        <w:rPr>
          <w:rFonts w:hint="eastAsia" w:cs="仿宋_GB2312"/>
          <w:kern w:val="0"/>
          <w:sz w:val="24"/>
          <w:szCs w:val="24"/>
          <w:highlight w:val="none"/>
        </w:rPr>
        <w:t>. 会期预计半天，出席会议人员交通、食宿费自理。</w:t>
      </w:r>
    </w:p>
    <w:p w14:paraId="2E63FF73">
      <w:pPr>
        <w:autoSpaceDE w:val="0"/>
        <w:autoSpaceDN w:val="0"/>
        <w:adjustRightInd w:val="0"/>
        <w:spacing w:line="500" w:lineRule="exact"/>
        <w:ind w:firstLine="482" w:firstLineChars="200"/>
        <w:rPr>
          <w:b/>
          <w:sz w:val="24"/>
          <w:szCs w:val="24"/>
          <w:highlight w:val="none"/>
        </w:rPr>
      </w:pPr>
      <w:r>
        <w:rPr>
          <w:rFonts w:hint="eastAsia"/>
          <w:b/>
          <w:sz w:val="24"/>
          <w:szCs w:val="24"/>
          <w:highlight w:val="none"/>
        </w:rPr>
        <w:t>六、备查文件</w:t>
      </w:r>
    </w:p>
    <w:p w14:paraId="23304BD5">
      <w:pPr>
        <w:spacing w:line="500" w:lineRule="exact"/>
        <w:ind w:firstLine="480" w:firstLineChars="200"/>
        <w:rPr>
          <w:sz w:val="24"/>
          <w:szCs w:val="24"/>
          <w:highlight w:val="none"/>
        </w:rPr>
      </w:pPr>
      <w:r>
        <w:rPr>
          <w:rFonts w:hint="eastAsia"/>
          <w:sz w:val="24"/>
          <w:szCs w:val="24"/>
          <w:highlight w:val="none"/>
        </w:rPr>
        <w:t xml:space="preserve">1. </w:t>
      </w:r>
      <w:r>
        <w:rPr>
          <w:rFonts w:hint="eastAsia"/>
          <w:sz w:val="24"/>
          <w:szCs w:val="24"/>
          <w:highlight w:val="none"/>
          <w:lang w:eastAsia="zh-CN"/>
        </w:rPr>
        <w:t>第六届董事会第十</w:t>
      </w:r>
      <w:r>
        <w:rPr>
          <w:rFonts w:hint="eastAsia"/>
          <w:sz w:val="24"/>
          <w:szCs w:val="24"/>
          <w:highlight w:val="none"/>
          <w:lang w:val="en-US" w:eastAsia="zh-CN"/>
        </w:rPr>
        <w:t>四</w:t>
      </w:r>
      <w:r>
        <w:rPr>
          <w:rFonts w:hint="eastAsia"/>
          <w:sz w:val="24"/>
          <w:szCs w:val="24"/>
          <w:highlight w:val="none"/>
          <w:lang w:eastAsia="zh-CN"/>
        </w:rPr>
        <w:t>次会议</w:t>
      </w:r>
      <w:r>
        <w:rPr>
          <w:rFonts w:hint="eastAsia"/>
          <w:sz w:val="24"/>
          <w:szCs w:val="24"/>
          <w:highlight w:val="none"/>
        </w:rPr>
        <w:t>决议；</w:t>
      </w:r>
    </w:p>
    <w:p w14:paraId="3F85BB3A">
      <w:pPr>
        <w:spacing w:line="500" w:lineRule="exact"/>
        <w:ind w:firstLine="480" w:firstLineChars="200"/>
        <w:rPr>
          <w:sz w:val="24"/>
          <w:szCs w:val="24"/>
          <w:highlight w:val="none"/>
        </w:rPr>
      </w:pPr>
      <w:r>
        <w:rPr>
          <w:rFonts w:hint="eastAsia"/>
          <w:sz w:val="24"/>
          <w:szCs w:val="24"/>
          <w:highlight w:val="none"/>
        </w:rPr>
        <w:t>2. 第六届监事会第</w:t>
      </w:r>
      <w:r>
        <w:rPr>
          <w:rFonts w:hint="eastAsia"/>
          <w:sz w:val="24"/>
          <w:szCs w:val="24"/>
          <w:highlight w:val="none"/>
          <w:lang w:val="en-US" w:eastAsia="zh-CN"/>
        </w:rPr>
        <w:t>十一</w:t>
      </w:r>
      <w:r>
        <w:rPr>
          <w:rFonts w:hint="eastAsia"/>
          <w:sz w:val="24"/>
          <w:szCs w:val="24"/>
          <w:highlight w:val="none"/>
        </w:rPr>
        <w:t>次会议决议。</w:t>
      </w:r>
    </w:p>
    <w:p w14:paraId="2BAB4803">
      <w:pPr>
        <w:spacing w:before="156" w:beforeLines="50" w:line="500" w:lineRule="exact"/>
        <w:ind w:firstLine="480" w:firstLineChars="200"/>
        <w:rPr>
          <w:sz w:val="24"/>
          <w:szCs w:val="24"/>
          <w:highlight w:val="none"/>
        </w:rPr>
      </w:pPr>
      <w:r>
        <w:rPr>
          <w:rFonts w:hint="eastAsia"/>
          <w:sz w:val="24"/>
          <w:szCs w:val="24"/>
          <w:highlight w:val="none"/>
        </w:rPr>
        <w:t>特此通知。</w:t>
      </w:r>
    </w:p>
    <w:p w14:paraId="2DD44BE3">
      <w:pPr>
        <w:spacing w:before="156" w:beforeLines="50" w:line="500" w:lineRule="exact"/>
        <w:ind w:firstLine="3480" w:firstLineChars="1450"/>
        <w:jc w:val="right"/>
        <w:rPr>
          <w:rFonts w:ascii="宋体" w:hAnsi="宋体"/>
          <w:color w:val="000000"/>
          <w:sz w:val="24"/>
          <w:highlight w:val="none"/>
        </w:rPr>
      </w:pPr>
      <w:r>
        <w:rPr>
          <w:rFonts w:hint="eastAsia" w:ascii="宋体" w:hAnsi="宋体"/>
          <w:color w:val="000000"/>
          <w:sz w:val="24"/>
          <w:highlight w:val="none"/>
        </w:rPr>
        <w:t>冠昊生物科技股份有限公司董事会</w:t>
      </w:r>
    </w:p>
    <w:p w14:paraId="6D94C195">
      <w:pPr>
        <w:wordWrap w:val="0"/>
        <w:spacing w:line="500" w:lineRule="exact"/>
        <w:ind w:firstLine="5640" w:firstLineChars="2350"/>
        <w:jc w:val="right"/>
        <w:rPr>
          <w:color w:val="000000"/>
          <w:sz w:val="24"/>
          <w:highlight w:val="none"/>
        </w:rPr>
      </w:pPr>
      <w:r>
        <w:rPr>
          <w:rFonts w:hint="eastAsia"/>
          <w:kern w:val="0"/>
          <w:sz w:val="24"/>
          <w:highlight w:val="none"/>
          <w:lang w:eastAsia="zh-CN"/>
        </w:rPr>
        <w:t>2025</w:t>
      </w:r>
      <w:r>
        <w:rPr>
          <w:color w:val="000000"/>
          <w:sz w:val="24"/>
          <w:highlight w:val="none"/>
        </w:rPr>
        <w:t>年</w:t>
      </w:r>
      <w:r>
        <w:rPr>
          <w:rFonts w:hint="eastAsia"/>
          <w:color w:val="000000"/>
          <w:sz w:val="24"/>
          <w:highlight w:val="none"/>
          <w:lang w:val="en-US" w:eastAsia="zh-CN"/>
        </w:rPr>
        <w:t>6</w:t>
      </w:r>
      <w:r>
        <w:rPr>
          <w:color w:val="000000"/>
          <w:sz w:val="24"/>
          <w:highlight w:val="none"/>
        </w:rPr>
        <w:t>月</w:t>
      </w:r>
      <w:r>
        <w:rPr>
          <w:rFonts w:hint="eastAsia"/>
          <w:color w:val="000000"/>
          <w:sz w:val="24"/>
          <w:highlight w:val="none"/>
          <w:lang w:val="en-US" w:eastAsia="zh-CN"/>
        </w:rPr>
        <w:t>19</w:t>
      </w:r>
      <w:r>
        <w:rPr>
          <w:color w:val="000000"/>
          <w:sz w:val="24"/>
          <w:highlight w:val="none"/>
        </w:rPr>
        <w:t>日</w:t>
      </w:r>
      <w:r>
        <w:rPr>
          <w:rFonts w:hint="eastAsia"/>
          <w:color w:val="000000"/>
          <w:sz w:val="24"/>
          <w:highlight w:val="none"/>
        </w:rPr>
        <w:t xml:space="preserve"> </w:t>
      </w:r>
      <w:r>
        <w:rPr>
          <w:color w:val="000000"/>
          <w:sz w:val="24"/>
          <w:highlight w:val="none"/>
        </w:rPr>
        <w:t xml:space="preserve">      </w:t>
      </w:r>
    </w:p>
    <w:p w14:paraId="44AA4FBE">
      <w:pPr>
        <w:autoSpaceDE w:val="0"/>
        <w:autoSpaceDN w:val="0"/>
        <w:adjustRightInd w:val="0"/>
        <w:spacing w:line="500" w:lineRule="exact"/>
        <w:rPr>
          <w:rFonts w:ascii="宋体" w:hAnsi="宋体" w:cs="仿宋_GB2312"/>
          <w:kern w:val="0"/>
          <w:sz w:val="24"/>
          <w:szCs w:val="24"/>
          <w:highlight w:val="none"/>
        </w:rPr>
      </w:pPr>
      <w:bookmarkStart w:id="10" w:name="_GoBack"/>
      <w:bookmarkEnd w:id="10"/>
      <w:r>
        <w:rPr>
          <w:rFonts w:ascii="宋体" w:hAnsi="宋体" w:cs="仿宋_GB2312"/>
          <w:kern w:val="0"/>
          <w:szCs w:val="21"/>
          <w:highlight w:val="none"/>
        </w:rPr>
        <w:br w:type="page"/>
      </w:r>
      <w:r>
        <w:rPr>
          <w:rFonts w:hint="eastAsia" w:ascii="宋体" w:hAnsi="宋体" w:cs="仿宋_GB2312"/>
          <w:kern w:val="0"/>
          <w:sz w:val="24"/>
          <w:szCs w:val="24"/>
          <w:highlight w:val="none"/>
        </w:rPr>
        <w:t>附件一：</w:t>
      </w:r>
    </w:p>
    <w:p w14:paraId="59FB976F">
      <w:pPr>
        <w:autoSpaceDE w:val="0"/>
        <w:autoSpaceDN w:val="0"/>
        <w:adjustRightInd w:val="0"/>
        <w:spacing w:line="500" w:lineRule="exact"/>
        <w:jc w:val="center"/>
        <w:rPr>
          <w:rFonts w:ascii="宋体" w:hAnsi="宋体" w:cs="仿宋_GB2312"/>
          <w:b/>
          <w:kern w:val="0"/>
          <w:sz w:val="30"/>
          <w:szCs w:val="30"/>
          <w:highlight w:val="none"/>
        </w:rPr>
      </w:pPr>
      <w:r>
        <w:rPr>
          <w:rFonts w:hint="eastAsia" w:ascii="宋体" w:hAnsi="宋体" w:cs="仿宋_GB2312"/>
          <w:b/>
          <w:kern w:val="0"/>
          <w:sz w:val="30"/>
          <w:szCs w:val="30"/>
          <w:highlight w:val="none"/>
        </w:rPr>
        <w:t>参加网络投票的具体操作流程</w:t>
      </w:r>
    </w:p>
    <w:p w14:paraId="6C78F8C9">
      <w:pPr>
        <w:spacing w:before="156" w:beforeLines="50" w:line="360" w:lineRule="auto"/>
        <w:rPr>
          <w:rFonts w:ascii="宋体" w:hAnsi="宋体" w:cs="宋体"/>
          <w:sz w:val="24"/>
          <w:highlight w:val="none"/>
        </w:rPr>
      </w:pPr>
      <w:r>
        <w:rPr>
          <w:rFonts w:hint="eastAsia" w:ascii="宋体" w:hAnsi="宋体" w:cs="宋体"/>
          <w:b/>
          <w:bCs/>
          <w:sz w:val="24"/>
          <w:highlight w:val="none"/>
        </w:rPr>
        <w:t>一、网络投票的程序</w:t>
      </w:r>
      <w:r>
        <w:rPr>
          <w:rFonts w:hint="eastAsia" w:ascii="宋体" w:hAnsi="宋体" w:cs="宋体"/>
          <w:sz w:val="24"/>
          <w:highlight w:val="none"/>
        </w:rPr>
        <w:t xml:space="preserve"> </w:t>
      </w:r>
    </w:p>
    <w:p w14:paraId="75454DFD">
      <w:pPr>
        <w:spacing w:line="360" w:lineRule="auto"/>
        <w:ind w:firstLine="480" w:firstLineChars="200"/>
        <w:rPr>
          <w:sz w:val="24"/>
          <w:highlight w:val="none"/>
        </w:rPr>
      </w:pPr>
      <w:r>
        <w:rPr>
          <w:sz w:val="24"/>
          <w:highlight w:val="none"/>
        </w:rPr>
        <w:t>1. 投票代码与投票简称：股东投票代码：3</w:t>
      </w:r>
      <w:r>
        <w:rPr>
          <w:rFonts w:hint="eastAsia"/>
          <w:sz w:val="24"/>
          <w:highlight w:val="none"/>
        </w:rPr>
        <w:t>50</w:t>
      </w:r>
      <w:r>
        <w:rPr>
          <w:sz w:val="24"/>
          <w:highlight w:val="none"/>
        </w:rPr>
        <w:t>238；投票简称：冠昊投票；</w:t>
      </w:r>
    </w:p>
    <w:p w14:paraId="555DA693">
      <w:pPr>
        <w:spacing w:line="360" w:lineRule="auto"/>
        <w:ind w:firstLine="480" w:firstLineChars="200"/>
        <w:rPr>
          <w:sz w:val="24"/>
          <w:highlight w:val="none"/>
        </w:rPr>
      </w:pPr>
      <w:r>
        <w:rPr>
          <w:sz w:val="24"/>
          <w:highlight w:val="none"/>
        </w:rPr>
        <w:t xml:space="preserve">2. </w:t>
      </w:r>
      <w:r>
        <w:rPr>
          <w:rFonts w:hint="eastAsia"/>
          <w:sz w:val="24"/>
          <w:highlight w:val="none"/>
        </w:rPr>
        <w:t>填报表决意见或选举票数。</w:t>
      </w:r>
    </w:p>
    <w:p w14:paraId="613B1B3A">
      <w:pPr>
        <w:spacing w:line="360" w:lineRule="auto"/>
        <w:ind w:firstLine="480" w:firstLineChars="200"/>
        <w:rPr>
          <w:sz w:val="24"/>
          <w:highlight w:val="none"/>
        </w:rPr>
      </w:pPr>
      <w:r>
        <w:rPr>
          <w:rFonts w:hint="eastAsia"/>
          <w:sz w:val="24"/>
          <w:highlight w:val="none"/>
        </w:rPr>
        <w:t>对于非累积投票提案，填报表决意见：同意、反对、弃权。</w:t>
      </w:r>
    </w:p>
    <w:p w14:paraId="69321BE8">
      <w:pPr>
        <w:spacing w:before="156" w:beforeLines="50" w:line="360" w:lineRule="auto"/>
        <w:rPr>
          <w:rFonts w:ascii="宋体" w:hAnsi="宋体" w:cs="宋体"/>
          <w:b/>
          <w:bCs/>
          <w:sz w:val="24"/>
          <w:highlight w:val="none"/>
        </w:rPr>
      </w:pPr>
      <w:r>
        <w:rPr>
          <w:rFonts w:hint="eastAsia" w:ascii="宋体" w:hAnsi="宋体" w:cs="宋体"/>
          <w:b/>
          <w:bCs/>
          <w:sz w:val="24"/>
          <w:highlight w:val="none"/>
        </w:rPr>
        <w:t xml:space="preserve">二、通过深交所交易系统投票的程序 </w:t>
      </w:r>
    </w:p>
    <w:p w14:paraId="3D0B13FF">
      <w:pPr>
        <w:spacing w:line="500" w:lineRule="exact"/>
        <w:ind w:firstLine="480" w:firstLineChars="200"/>
        <w:rPr>
          <w:sz w:val="24"/>
          <w:szCs w:val="24"/>
          <w:highlight w:val="none"/>
        </w:rPr>
      </w:pPr>
      <w:r>
        <w:rPr>
          <w:sz w:val="24"/>
          <w:szCs w:val="24"/>
          <w:highlight w:val="none"/>
        </w:rPr>
        <w:t>1. 投票时间：</w:t>
      </w:r>
      <w:r>
        <w:rPr>
          <w:rFonts w:hint="eastAsia" w:cs="仿宋_GB2312"/>
          <w:kern w:val="0"/>
          <w:sz w:val="24"/>
          <w:szCs w:val="24"/>
          <w:highlight w:val="none"/>
          <w:lang w:eastAsia="zh-CN"/>
        </w:rPr>
        <w:t>2025</w:t>
      </w:r>
      <w:r>
        <w:rPr>
          <w:rFonts w:hint="eastAsia" w:cs="仿宋_GB2312"/>
          <w:kern w:val="0"/>
          <w:sz w:val="24"/>
          <w:szCs w:val="24"/>
          <w:highlight w:val="none"/>
        </w:rPr>
        <w:t>年</w:t>
      </w:r>
      <w:r>
        <w:rPr>
          <w:rFonts w:hint="eastAsia" w:cs="仿宋_GB2312"/>
          <w:kern w:val="0"/>
          <w:sz w:val="24"/>
          <w:szCs w:val="24"/>
          <w:highlight w:val="none"/>
          <w:lang w:val="en-US" w:eastAsia="zh-CN"/>
        </w:rPr>
        <w:t>6</w:t>
      </w:r>
      <w:r>
        <w:rPr>
          <w:rFonts w:hint="eastAsia" w:cs="仿宋_GB2312"/>
          <w:kern w:val="0"/>
          <w:sz w:val="24"/>
          <w:szCs w:val="24"/>
          <w:highlight w:val="none"/>
        </w:rPr>
        <w:t>月</w:t>
      </w:r>
      <w:r>
        <w:rPr>
          <w:rFonts w:hint="eastAsia" w:cs="仿宋_GB2312"/>
          <w:kern w:val="0"/>
          <w:sz w:val="24"/>
          <w:szCs w:val="24"/>
          <w:highlight w:val="none"/>
          <w:lang w:val="en-US" w:eastAsia="zh-CN"/>
        </w:rPr>
        <w:t>23</w:t>
      </w:r>
      <w:r>
        <w:rPr>
          <w:rFonts w:hint="eastAsia" w:cs="仿宋_GB2312"/>
          <w:kern w:val="0"/>
          <w:sz w:val="24"/>
          <w:szCs w:val="24"/>
          <w:highlight w:val="none"/>
        </w:rPr>
        <w:t>日</w:t>
      </w:r>
      <w:r>
        <w:rPr>
          <w:sz w:val="24"/>
          <w:szCs w:val="24"/>
          <w:highlight w:val="none"/>
        </w:rPr>
        <w:t>的交易时间，</w:t>
      </w:r>
      <w:r>
        <w:rPr>
          <w:rFonts w:hint="eastAsia"/>
          <w:sz w:val="24"/>
          <w:szCs w:val="24"/>
          <w:highlight w:val="none"/>
        </w:rPr>
        <w:t>即9:15—9:25，9:30—11:30和13:00—15:00</w:t>
      </w:r>
      <w:r>
        <w:rPr>
          <w:sz w:val="24"/>
          <w:szCs w:val="24"/>
          <w:highlight w:val="none"/>
        </w:rPr>
        <w:t>。</w:t>
      </w:r>
    </w:p>
    <w:p w14:paraId="61E96876">
      <w:pPr>
        <w:spacing w:line="500" w:lineRule="exact"/>
        <w:ind w:firstLine="480" w:firstLineChars="200"/>
        <w:rPr>
          <w:sz w:val="24"/>
          <w:szCs w:val="24"/>
          <w:highlight w:val="none"/>
        </w:rPr>
      </w:pPr>
      <w:r>
        <w:rPr>
          <w:sz w:val="24"/>
          <w:szCs w:val="24"/>
          <w:highlight w:val="none"/>
        </w:rPr>
        <w:t>2. 股东可以登录证券公司交易客户端通过交易系统投票。</w:t>
      </w:r>
    </w:p>
    <w:p w14:paraId="0CA936F9">
      <w:pPr>
        <w:spacing w:before="156" w:beforeLines="50" w:line="500" w:lineRule="exact"/>
        <w:rPr>
          <w:rFonts w:ascii="宋体" w:hAnsi="宋体" w:cs="宋体"/>
          <w:sz w:val="24"/>
          <w:highlight w:val="none"/>
        </w:rPr>
      </w:pPr>
      <w:r>
        <w:rPr>
          <w:rFonts w:hint="eastAsia" w:ascii="宋体" w:hAnsi="宋体" w:cs="宋体"/>
          <w:b/>
          <w:bCs/>
          <w:sz w:val="24"/>
          <w:highlight w:val="none"/>
        </w:rPr>
        <w:t xml:space="preserve">三、通过深交所互联网投票系统投票的程序 </w:t>
      </w:r>
    </w:p>
    <w:p w14:paraId="70AFBA28">
      <w:pPr>
        <w:spacing w:line="500" w:lineRule="exact"/>
        <w:ind w:firstLine="480" w:firstLineChars="200"/>
        <w:rPr>
          <w:sz w:val="24"/>
          <w:highlight w:val="none"/>
        </w:rPr>
      </w:pPr>
      <w:r>
        <w:rPr>
          <w:sz w:val="24"/>
          <w:highlight w:val="none"/>
        </w:rPr>
        <w:t>1. 互联网投票系统开始投票的时间为</w:t>
      </w:r>
      <w:r>
        <w:rPr>
          <w:rFonts w:hint="eastAsia" w:cs="仿宋_GB2312"/>
          <w:kern w:val="0"/>
          <w:sz w:val="24"/>
          <w:szCs w:val="24"/>
          <w:highlight w:val="none"/>
          <w:lang w:eastAsia="zh-CN"/>
        </w:rPr>
        <w:t>2025</w:t>
      </w:r>
      <w:r>
        <w:rPr>
          <w:rFonts w:hint="eastAsia" w:cs="仿宋_GB2312"/>
          <w:kern w:val="0"/>
          <w:sz w:val="24"/>
          <w:szCs w:val="24"/>
          <w:highlight w:val="none"/>
        </w:rPr>
        <w:t>年</w:t>
      </w:r>
      <w:r>
        <w:rPr>
          <w:rFonts w:hint="eastAsia" w:cs="仿宋_GB2312"/>
          <w:kern w:val="0"/>
          <w:sz w:val="24"/>
          <w:szCs w:val="24"/>
          <w:highlight w:val="none"/>
          <w:lang w:val="en-US" w:eastAsia="zh-CN"/>
        </w:rPr>
        <w:t>6</w:t>
      </w:r>
      <w:r>
        <w:rPr>
          <w:rFonts w:hint="eastAsia" w:cs="仿宋_GB2312"/>
          <w:kern w:val="0"/>
          <w:sz w:val="24"/>
          <w:szCs w:val="24"/>
          <w:highlight w:val="none"/>
        </w:rPr>
        <w:t>月</w:t>
      </w:r>
      <w:r>
        <w:rPr>
          <w:rFonts w:hint="eastAsia" w:cs="仿宋_GB2312"/>
          <w:kern w:val="0"/>
          <w:sz w:val="24"/>
          <w:szCs w:val="24"/>
          <w:highlight w:val="none"/>
          <w:lang w:val="en-US" w:eastAsia="zh-CN"/>
        </w:rPr>
        <w:t>23</w:t>
      </w:r>
      <w:r>
        <w:rPr>
          <w:rFonts w:hint="eastAsia" w:cs="仿宋_GB2312"/>
          <w:kern w:val="0"/>
          <w:sz w:val="24"/>
          <w:szCs w:val="24"/>
          <w:highlight w:val="none"/>
        </w:rPr>
        <w:t>日</w:t>
      </w:r>
      <w:r>
        <w:rPr>
          <w:rFonts w:hint="eastAsia"/>
          <w:sz w:val="24"/>
          <w:highlight w:val="none"/>
        </w:rPr>
        <w:t>上午9</w:t>
      </w:r>
      <w:r>
        <w:rPr>
          <w:sz w:val="24"/>
          <w:highlight w:val="none"/>
        </w:rPr>
        <w:t>:</w:t>
      </w:r>
      <w:r>
        <w:rPr>
          <w:rFonts w:hint="eastAsia"/>
          <w:sz w:val="24"/>
          <w:highlight w:val="none"/>
        </w:rPr>
        <w:t>15</w:t>
      </w:r>
      <w:r>
        <w:rPr>
          <w:sz w:val="24"/>
          <w:highlight w:val="none"/>
        </w:rPr>
        <w:t>，结束时间为</w:t>
      </w:r>
      <w:r>
        <w:rPr>
          <w:rFonts w:hint="eastAsia" w:cs="仿宋_GB2312"/>
          <w:kern w:val="0"/>
          <w:sz w:val="24"/>
          <w:szCs w:val="24"/>
          <w:highlight w:val="none"/>
          <w:lang w:eastAsia="zh-CN"/>
        </w:rPr>
        <w:t>2025</w:t>
      </w:r>
      <w:r>
        <w:rPr>
          <w:rFonts w:hint="eastAsia" w:cs="仿宋_GB2312"/>
          <w:kern w:val="0"/>
          <w:sz w:val="24"/>
          <w:szCs w:val="24"/>
          <w:highlight w:val="none"/>
        </w:rPr>
        <w:t>年</w:t>
      </w:r>
      <w:r>
        <w:rPr>
          <w:rFonts w:hint="eastAsia" w:cs="仿宋_GB2312"/>
          <w:kern w:val="0"/>
          <w:sz w:val="24"/>
          <w:szCs w:val="24"/>
          <w:highlight w:val="none"/>
          <w:lang w:val="en-US" w:eastAsia="zh-CN"/>
        </w:rPr>
        <w:t>6</w:t>
      </w:r>
      <w:r>
        <w:rPr>
          <w:rFonts w:hint="eastAsia" w:cs="仿宋_GB2312"/>
          <w:kern w:val="0"/>
          <w:sz w:val="24"/>
          <w:szCs w:val="24"/>
          <w:highlight w:val="none"/>
        </w:rPr>
        <w:t>月</w:t>
      </w:r>
      <w:r>
        <w:rPr>
          <w:rFonts w:hint="eastAsia" w:cs="仿宋_GB2312"/>
          <w:kern w:val="0"/>
          <w:sz w:val="24"/>
          <w:szCs w:val="24"/>
          <w:highlight w:val="none"/>
          <w:lang w:val="en-US" w:eastAsia="zh-CN"/>
        </w:rPr>
        <w:t>23</w:t>
      </w:r>
      <w:r>
        <w:rPr>
          <w:rFonts w:hint="eastAsia" w:cs="仿宋_GB2312"/>
          <w:kern w:val="0"/>
          <w:sz w:val="24"/>
          <w:szCs w:val="24"/>
          <w:highlight w:val="none"/>
        </w:rPr>
        <w:t>日</w:t>
      </w:r>
      <w:r>
        <w:rPr>
          <w:sz w:val="24"/>
          <w:highlight w:val="none"/>
        </w:rPr>
        <w:t>下午</w:t>
      </w:r>
      <w:r>
        <w:rPr>
          <w:rFonts w:hint="eastAsia"/>
          <w:sz w:val="24"/>
          <w:highlight w:val="none"/>
        </w:rPr>
        <w:t>15</w:t>
      </w:r>
      <w:r>
        <w:rPr>
          <w:sz w:val="24"/>
          <w:highlight w:val="none"/>
        </w:rPr>
        <w:t>:00。</w:t>
      </w:r>
    </w:p>
    <w:p w14:paraId="201D5A41">
      <w:pPr>
        <w:spacing w:line="500" w:lineRule="exact"/>
        <w:ind w:firstLine="480" w:firstLineChars="200"/>
        <w:rPr>
          <w:rFonts w:ascii="宋体" w:hAnsi="宋体" w:cs="宋体"/>
          <w:sz w:val="24"/>
          <w:highlight w:val="none"/>
        </w:rPr>
      </w:pPr>
      <w:r>
        <w:rPr>
          <w:sz w:val="24"/>
          <w:highlight w:val="none"/>
        </w:rPr>
        <w:t>2. 股东通过互联网投票系统进行网络投票，需按照《深圳证券交易所投资者网络服务身份认证业务指引》的规定办理身份认证，取得</w:t>
      </w:r>
      <w:r>
        <w:rPr>
          <w:rFonts w:hint="eastAsia" w:ascii="宋体" w:hAnsi="宋体" w:cs="宋体"/>
          <w:sz w:val="24"/>
          <w:highlight w:val="none"/>
        </w:rPr>
        <w:t>“深圳证券交易所数字证书”或“深圳证券交易所投资者服务密码”。具体的身份认证流程可登录互联网投票系统</w:t>
      </w:r>
      <w:r>
        <w:rPr>
          <w:sz w:val="24"/>
          <w:highlight w:val="none"/>
        </w:rPr>
        <w:t>http://wltp.cninfo.com.cn</w:t>
      </w:r>
      <w:r>
        <w:rPr>
          <w:rFonts w:hint="eastAsia" w:ascii="宋体" w:hAnsi="宋体" w:cs="宋体"/>
          <w:sz w:val="24"/>
          <w:highlight w:val="none"/>
        </w:rPr>
        <w:t xml:space="preserve">规则指引栏目查阅。 </w:t>
      </w:r>
    </w:p>
    <w:p w14:paraId="5FFF180E">
      <w:pPr>
        <w:spacing w:line="500" w:lineRule="exact"/>
        <w:ind w:firstLine="480" w:firstLineChars="200"/>
        <w:rPr>
          <w:sz w:val="24"/>
          <w:highlight w:val="none"/>
        </w:rPr>
      </w:pPr>
      <w:r>
        <w:rPr>
          <w:sz w:val="24"/>
          <w:highlight w:val="none"/>
        </w:rPr>
        <w:t xml:space="preserve">3. 股东根据获取的服务密码或数字证书，可登录http://wltp.cninfo.com.cn在规定时间内通过深交所互联网投票系统进行投票。 </w:t>
      </w:r>
      <w:r>
        <w:rPr>
          <w:rFonts w:ascii="宋体" w:hAnsi="宋体" w:cs="仿宋_GB2312"/>
          <w:kern w:val="0"/>
          <w:szCs w:val="21"/>
          <w:highlight w:val="none"/>
        </w:rPr>
        <w:br w:type="page"/>
      </w:r>
      <w:r>
        <w:rPr>
          <w:rFonts w:hint="eastAsia" w:ascii="宋体" w:hAnsi="宋体" w:cs="仿宋_GB2312"/>
          <w:kern w:val="0"/>
          <w:sz w:val="24"/>
          <w:szCs w:val="24"/>
          <w:highlight w:val="none"/>
        </w:rPr>
        <w:t>附件二：</w:t>
      </w:r>
    </w:p>
    <w:p w14:paraId="1BF1D2E8">
      <w:pPr>
        <w:autoSpaceDE w:val="0"/>
        <w:autoSpaceDN w:val="0"/>
        <w:adjustRightInd w:val="0"/>
        <w:spacing w:line="360" w:lineRule="auto"/>
        <w:jc w:val="center"/>
        <w:rPr>
          <w:rFonts w:ascii="宋体" w:hAnsi="宋体" w:cs="仿宋_GB2312"/>
          <w:b/>
          <w:kern w:val="0"/>
          <w:sz w:val="30"/>
          <w:szCs w:val="30"/>
          <w:highlight w:val="none"/>
        </w:rPr>
      </w:pPr>
      <w:r>
        <w:rPr>
          <w:rFonts w:hint="eastAsia" w:ascii="宋体" w:hAnsi="宋体" w:cs="仿宋_GB2312"/>
          <w:b/>
          <w:kern w:val="0"/>
          <w:sz w:val="30"/>
          <w:szCs w:val="30"/>
          <w:highlight w:val="none"/>
        </w:rPr>
        <w:t>授权委托书</w:t>
      </w:r>
    </w:p>
    <w:p w14:paraId="07499CF4">
      <w:pPr>
        <w:autoSpaceDE w:val="0"/>
        <w:autoSpaceDN w:val="0"/>
        <w:adjustRightInd w:val="0"/>
        <w:spacing w:line="360" w:lineRule="auto"/>
        <w:jc w:val="left"/>
        <w:rPr>
          <w:rFonts w:ascii="宋体" w:hAnsi="宋体" w:cs="仿宋_GB2312"/>
          <w:kern w:val="0"/>
          <w:szCs w:val="21"/>
          <w:highlight w:val="none"/>
        </w:rPr>
      </w:pPr>
      <w:r>
        <w:rPr>
          <w:rFonts w:hint="eastAsia" w:ascii="宋体" w:hAnsi="宋体" w:cs="仿宋_GB2312"/>
          <w:kern w:val="0"/>
          <w:szCs w:val="21"/>
          <w:highlight w:val="none"/>
        </w:rPr>
        <w:t>冠昊生物科技股份有限公司：</w:t>
      </w:r>
    </w:p>
    <w:p w14:paraId="3479EC7A">
      <w:pPr>
        <w:autoSpaceDE w:val="0"/>
        <w:autoSpaceDN w:val="0"/>
        <w:adjustRightInd w:val="0"/>
        <w:spacing w:line="460" w:lineRule="exact"/>
        <w:ind w:firstLine="420" w:firstLineChars="200"/>
        <w:jc w:val="left"/>
        <w:rPr>
          <w:rFonts w:ascii="宋体" w:hAnsi="宋体" w:cs="仿宋_GB2312"/>
          <w:kern w:val="0"/>
          <w:szCs w:val="21"/>
          <w:highlight w:val="none"/>
        </w:rPr>
      </w:pPr>
      <w:r>
        <w:rPr>
          <w:rFonts w:hint="eastAsia" w:ascii="宋体" w:hAnsi="宋体" w:cs="仿宋_GB2312"/>
          <w:kern w:val="0"/>
          <w:szCs w:val="21"/>
          <w:highlight w:val="none"/>
        </w:rPr>
        <w:t>兹授权</w:t>
      </w:r>
      <w:r>
        <w:rPr>
          <w:rFonts w:hint="eastAsia" w:ascii="宋体" w:hAnsi="宋体" w:cs="仿宋_GB2312"/>
          <w:kern w:val="0"/>
          <w:szCs w:val="21"/>
          <w:highlight w:val="none"/>
          <w:u w:val="single"/>
        </w:rPr>
        <w:t xml:space="preserve">            </w:t>
      </w:r>
      <w:r>
        <w:rPr>
          <w:rFonts w:hint="eastAsia" w:ascii="宋体" w:hAnsi="宋体" w:cs="仿宋_GB2312"/>
          <w:kern w:val="0"/>
          <w:szCs w:val="21"/>
          <w:highlight w:val="none"/>
        </w:rPr>
        <w:t>先生/女士代表本人（本公司）出席</w:t>
      </w:r>
      <w:r>
        <w:rPr>
          <w:rFonts w:hint="eastAsia" w:ascii="宋体" w:hAnsi="宋体" w:cs="仿宋_GB2312"/>
          <w:kern w:val="0"/>
          <w:szCs w:val="21"/>
          <w:highlight w:val="none"/>
          <w:u w:val="single"/>
        </w:rPr>
        <w:t xml:space="preserve"> </w:t>
      </w:r>
      <w:r>
        <w:rPr>
          <w:rFonts w:hint="eastAsia" w:ascii="宋体" w:hAnsi="宋体" w:cs="仿宋_GB2312"/>
          <w:b/>
          <w:kern w:val="0"/>
          <w:szCs w:val="21"/>
          <w:highlight w:val="none"/>
          <w:u w:val="single"/>
        </w:rPr>
        <w:t>冠昊生物科技股份有限公</w:t>
      </w:r>
      <w:r>
        <w:rPr>
          <w:b/>
          <w:kern w:val="0"/>
          <w:szCs w:val="21"/>
          <w:highlight w:val="none"/>
          <w:u w:val="single"/>
        </w:rPr>
        <w:t>司</w:t>
      </w:r>
      <w:r>
        <w:rPr>
          <w:rFonts w:hint="eastAsia"/>
          <w:b/>
          <w:kern w:val="0"/>
          <w:szCs w:val="21"/>
          <w:highlight w:val="none"/>
          <w:u w:val="single"/>
          <w:lang w:eastAsia="zh-CN"/>
        </w:rPr>
        <w:t>2025年第二次临时股东大会</w:t>
      </w:r>
      <w:r>
        <w:rPr>
          <w:rFonts w:hint="eastAsia" w:ascii="宋体" w:hAnsi="宋体" w:cs="仿宋_GB2312"/>
          <w:b/>
          <w:kern w:val="0"/>
          <w:szCs w:val="21"/>
          <w:highlight w:val="none"/>
          <w:u w:val="single"/>
        </w:rPr>
        <w:t xml:space="preserve"> </w:t>
      </w:r>
      <w:r>
        <w:rPr>
          <w:rFonts w:hint="eastAsia" w:ascii="宋体" w:hAnsi="宋体" w:cs="仿宋_GB2312"/>
          <w:kern w:val="0"/>
          <w:szCs w:val="21"/>
          <w:highlight w:val="none"/>
        </w:rPr>
        <w:t>并代为行使表决权。</w:t>
      </w:r>
    </w:p>
    <w:p w14:paraId="29E91EA7">
      <w:pPr>
        <w:autoSpaceDE w:val="0"/>
        <w:autoSpaceDN w:val="0"/>
        <w:adjustRightInd w:val="0"/>
        <w:spacing w:after="156" w:afterLines="50" w:line="460" w:lineRule="exact"/>
        <w:ind w:firstLine="420" w:firstLineChars="200"/>
        <w:jc w:val="left"/>
        <w:rPr>
          <w:rFonts w:ascii="宋体" w:hAnsi="宋体" w:cs="仿宋_GB2312"/>
          <w:kern w:val="0"/>
          <w:szCs w:val="21"/>
          <w:highlight w:val="none"/>
        </w:rPr>
      </w:pPr>
      <w:r>
        <w:rPr>
          <w:rFonts w:hint="eastAsia" w:ascii="宋体" w:hAnsi="宋体" w:cs="仿宋_GB2312"/>
          <w:kern w:val="0"/>
          <w:szCs w:val="21"/>
          <w:highlight w:val="none"/>
        </w:rPr>
        <w:t>我单位/个人对本次会议议案未明确表达表决意见的，受托人</w:t>
      </w:r>
      <w:r>
        <w:rPr>
          <w:rFonts w:hint="eastAsia" w:ascii="宋体" w:hAnsi="宋体" w:cs="仿宋_GB2312"/>
          <w:b/>
          <w:kern w:val="0"/>
          <w:szCs w:val="21"/>
          <w:highlight w:val="none"/>
        </w:rPr>
        <w:t>□有权/□无权</w:t>
      </w:r>
      <w:r>
        <w:rPr>
          <w:rFonts w:hint="eastAsia" w:ascii="宋体" w:hAnsi="宋体" w:cs="仿宋_GB2312"/>
          <w:kern w:val="0"/>
          <w:szCs w:val="21"/>
          <w:highlight w:val="none"/>
        </w:rPr>
        <w:t>按照自己的意见表决。</w:t>
      </w:r>
    </w:p>
    <w:tbl>
      <w:tblPr>
        <w:tblStyle w:val="6"/>
        <w:tblW w:w="90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7"/>
        <w:gridCol w:w="3507"/>
        <w:gridCol w:w="1129"/>
        <w:gridCol w:w="938"/>
        <w:gridCol w:w="938"/>
        <w:gridCol w:w="862"/>
      </w:tblGrid>
      <w:tr w14:paraId="62AED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1677" w:type="dxa"/>
            <w:vMerge w:val="restart"/>
            <w:tcBorders>
              <w:top w:val="single" w:color="auto" w:sz="4" w:space="0"/>
              <w:left w:val="single" w:color="auto" w:sz="4" w:space="0"/>
              <w:right w:val="single" w:color="auto" w:sz="4" w:space="0"/>
            </w:tcBorders>
            <w:shd w:val="clear" w:color="auto" w:fill="D9D9D9"/>
            <w:vAlign w:val="center"/>
          </w:tcPr>
          <w:p w14:paraId="5B1BF33F">
            <w:pPr>
              <w:spacing w:line="360" w:lineRule="auto"/>
              <w:jc w:val="center"/>
              <w:rPr>
                <w:b/>
                <w:highlight w:val="none"/>
              </w:rPr>
            </w:pPr>
            <w:r>
              <w:rPr>
                <w:rFonts w:hint="eastAsia"/>
                <w:b/>
                <w:highlight w:val="none"/>
              </w:rPr>
              <w:t>提案编码</w:t>
            </w:r>
          </w:p>
        </w:tc>
        <w:tc>
          <w:tcPr>
            <w:tcW w:w="3507" w:type="dxa"/>
            <w:vMerge w:val="restart"/>
            <w:tcBorders>
              <w:top w:val="single" w:color="auto" w:sz="4" w:space="0"/>
              <w:left w:val="single" w:color="auto" w:sz="4" w:space="0"/>
              <w:right w:val="single" w:color="auto" w:sz="4" w:space="0"/>
            </w:tcBorders>
            <w:shd w:val="clear" w:color="auto" w:fill="D9D9D9"/>
            <w:vAlign w:val="center"/>
          </w:tcPr>
          <w:p w14:paraId="62A871A6">
            <w:pPr>
              <w:spacing w:line="360" w:lineRule="auto"/>
              <w:jc w:val="left"/>
              <w:rPr>
                <w:b/>
                <w:highlight w:val="none"/>
              </w:rPr>
            </w:pPr>
            <w:r>
              <w:rPr>
                <w:rFonts w:hint="eastAsia"/>
                <w:b/>
                <w:highlight w:val="none"/>
              </w:rPr>
              <w:t>提案名称</w:t>
            </w:r>
          </w:p>
        </w:tc>
        <w:tc>
          <w:tcPr>
            <w:tcW w:w="1129" w:type="dxa"/>
            <w:tcBorders>
              <w:top w:val="single" w:color="auto" w:sz="4" w:space="0"/>
              <w:left w:val="single" w:color="auto" w:sz="4" w:space="0"/>
              <w:bottom w:val="single" w:color="auto" w:sz="4" w:space="0"/>
              <w:right w:val="single" w:color="auto" w:sz="4" w:space="0"/>
            </w:tcBorders>
            <w:shd w:val="clear" w:color="auto" w:fill="D9D9D9"/>
            <w:vAlign w:val="center"/>
          </w:tcPr>
          <w:p w14:paraId="7B45E320">
            <w:pPr>
              <w:spacing w:line="360" w:lineRule="auto"/>
              <w:jc w:val="center"/>
              <w:rPr>
                <w:b/>
                <w:highlight w:val="none"/>
              </w:rPr>
            </w:pPr>
            <w:r>
              <w:rPr>
                <w:rFonts w:hint="eastAsia"/>
                <w:b/>
                <w:highlight w:val="none"/>
              </w:rPr>
              <w:t>备注</w:t>
            </w:r>
          </w:p>
        </w:tc>
        <w:tc>
          <w:tcPr>
            <w:tcW w:w="938" w:type="dxa"/>
            <w:tcBorders>
              <w:top w:val="single" w:color="auto" w:sz="4" w:space="0"/>
              <w:left w:val="single" w:color="auto" w:sz="4" w:space="0"/>
              <w:bottom w:val="single" w:color="auto" w:sz="4" w:space="0"/>
              <w:right w:val="single" w:color="auto" w:sz="4" w:space="0"/>
            </w:tcBorders>
            <w:shd w:val="clear" w:color="auto" w:fill="D9D9D9"/>
            <w:vAlign w:val="center"/>
          </w:tcPr>
          <w:p w14:paraId="2AFD7BBD">
            <w:pPr>
              <w:spacing w:line="360" w:lineRule="auto"/>
              <w:jc w:val="left"/>
              <w:rPr>
                <w:b/>
                <w:highlight w:val="none"/>
              </w:rPr>
            </w:pPr>
            <w:r>
              <w:rPr>
                <w:rFonts w:hint="eastAsia"/>
                <w:b/>
                <w:highlight w:val="none"/>
              </w:rPr>
              <w:t>同意</w:t>
            </w:r>
          </w:p>
        </w:tc>
        <w:tc>
          <w:tcPr>
            <w:tcW w:w="938" w:type="dxa"/>
            <w:tcBorders>
              <w:top w:val="single" w:color="auto" w:sz="4" w:space="0"/>
              <w:left w:val="single" w:color="auto" w:sz="4" w:space="0"/>
              <w:bottom w:val="single" w:color="auto" w:sz="4" w:space="0"/>
              <w:right w:val="single" w:color="auto" w:sz="4" w:space="0"/>
            </w:tcBorders>
            <w:shd w:val="clear" w:color="auto" w:fill="D9D9D9"/>
            <w:vAlign w:val="center"/>
          </w:tcPr>
          <w:p w14:paraId="712E66F0">
            <w:pPr>
              <w:spacing w:line="360" w:lineRule="auto"/>
              <w:jc w:val="left"/>
              <w:rPr>
                <w:b/>
                <w:highlight w:val="none"/>
              </w:rPr>
            </w:pPr>
            <w:r>
              <w:rPr>
                <w:rFonts w:hint="eastAsia"/>
                <w:b/>
                <w:highlight w:val="none"/>
              </w:rPr>
              <w:t>反对</w:t>
            </w:r>
          </w:p>
        </w:tc>
        <w:tc>
          <w:tcPr>
            <w:tcW w:w="862" w:type="dxa"/>
            <w:tcBorders>
              <w:top w:val="single" w:color="auto" w:sz="4" w:space="0"/>
              <w:left w:val="single" w:color="auto" w:sz="4" w:space="0"/>
              <w:bottom w:val="single" w:color="auto" w:sz="4" w:space="0"/>
              <w:right w:val="single" w:color="auto" w:sz="4" w:space="0"/>
            </w:tcBorders>
            <w:shd w:val="clear" w:color="auto" w:fill="D9D9D9"/>
            <w:vAlign w:val="center"/>
          </w:tcPr>
          <w:p w14:paraId="1B858FF9">
            <w:pPr>
              <w:spacing w:line="360" w:lineRule="auto"/>
              <w:jc w:val="left"/>
              <w:rPr>
                <w:b/>
                <w:highlight w:val="none"/>
              </w:rPr>
            </w:pPr>
            <w:r>
              <w:rPr>
                <w:rFonts w:hint="eastAsia"/>
                <w:b/>
                <w:highlight w:val="none"/>
              </w:rPr>
              <w:t>弃权</w:t>
            </w:r>
          </w:p>
        </w:tc>
      </w:tr>
      <w:tr w14:paraId="08AF3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1677" w:type="dxa"/>
            <w:vMerge w:val="continue"/>
            <w:tcBorders>
              <w:left w:val="single" w:color="auto" w:sz="4" w:space="0"/>
              <w:bottom w:val="single" w:color="auto" w:sz="4" w:space="0"/>
              <w:right w:val="single" w:color="auto" w:sz="4" w:space="0"/>
            </w:tcBorders>
            <w:vAlign w:val="center"/>
          </w:tcPr>
          <w:p w14:paraId="1983F578">
            <w:pPr>
              <w:spacing w:line="360" w:lineRule="auto"/>
              <w:jc w:val="center"/>
              <w:rPr>
                <w:rFonts w:ascii="仿宋" w:hAnsi="仿宋" w:eastAsia="仿宋"/>
                <w:sz w:val="24"/>
                <w:szCs w:val="24"/>
                <w:highlight w:val="none"/>
              </w:rPr>
            </w:pPr>
          </w:p>
        </w:tc>
        <w:tc>
          <w:tcPr>
            <w:tcW w:w="3507" w:type="dxa"/>
            <w:vMerge w:val="continue"/>
            <w:tcBorders>
              <w:left w:val="single" w:color="auto" w:sz="4" w:space="0"/>
              <w:bottom w:val="single" w:color="auto" w:sz="4" w:space="0"/>
              <w:right w:val="single" w:color="auto" w:sz="4" w:space="0"/>
            </w:tcBorders>
            <w:vAlign w:val="center"/>
          </w:tcPr>
          <w:p w14:paraId="707E053A">
            <w:pPr>
              <w:spacing w:line="360" w:lineRule="auto"/>
              <w:jc w:val="left"/>
              <w:rPr>
                <w:rFonts w:ascii="仿宋" w:hAnsi="仿宋" w:eastAsia="仿宋"/>
                <w:b/>
                <w:sz w:val="24"/>
                <w:szCs w:val="24"/>
                <w:highlight w:val="none"/>
              </w:rPr>
            </w:pPr>
          </w:p>
        </w:tc>
        <w:tc>
          <w:tcPr>
            <w:tcW w:w="1129" w:type="dxa"/>
            <w:tcBorders>
              <w:top w:val="single" w:color="auto" w:sz="4" w:space="0"/>
              <w:left w:val="single" w:color="auto" w:sz="4" w:space="0"/>
              <w:bottom w:val="single" w:color="auto" w:sz="4" w:space="0"/>
              <w:right w:val="single" w:color="auto" w:sz="4" w:space="0"/>
            </w:tcBorders>
            <w:vAlign w:val="center"/>
          </w:tcPr>
          <w:p w14:paraId="20AB2330">
            <w:pPr>
              <w:jc w:val="both"/>
              <w:rPr>
                <w:rFonts w:ascii="仿宋" w:hAnsi="仿宋" w:eastAsia="仿宋"/>
                <w:b/>
                <w:sz w:val="24"/>
                <w:szCs w:val="24"/>
                <w:highlight w:val="none"/>
              </w:rPr>
            </w:pPr>
            <w:r>
              <w:rPr>
                <w:rFonts w:hint="eastAsia"/>
                <w:sz w:val="15"/>
                <w:szCs w:val="15"/>
                <w:highlight w:val="none"/>
              </w:rPr>
              <w:t>该列打勾的栏目可以投票</w:t>
            </w:r>
          </w:p>
        </w:tc>
        <w:tc>
          <w:tcPr>
            <w:tcW w:w="938" w:type="dxa"/>
            <w:tcBorders>
              <w:top w:val="single" w:color="auto" w:sz="4" w:space="0"/>
              <w:left w:val="single" w:color="auto" w:sz="4" w:space="0"/>
              <w:bottom w:val="single" w:color="auto" w:sz="4" w:space="0"/>
              <w:right w:val="single" w:color="auto" w:sz="4" w:space="0"/>
            </w:tcBorders>
            <w:vAlign w:val="center"/>
          </w:tcPr>
          <w:p w14:paraId="66BAE4A5">
            <w:pPr>
              <w:spacing w:line="360" w:lineRule="auto"/>
              <w:jc w:val="center"/>
              <w:rPr>
                <w:rFonts w:ascii="仿宋" w:hAnsi="仿宋" w:eastAsia="仿宋"/>
                <w:sz w:val="24"/>
                <w:szCs w:val="24"/>
                <w:highlight w:val="none"/>
              </w:rPr>
            </w:pPr>
          </w:p>
        </w:tc>
        <w:tc>
          <w:tcPr>
            <w:tcW w:w="938" w:type="dxa"/>
            <w:tcBorders>
              <w:top w:val="single" w:color="auto" w:sz="4" w:space="0"/>
              <w:left w:val="single" w:color="auto" w:sz="4" w:space="0"/>
              <w:bottom w:val="single" w:color="auto" w:sz="4" w:space="0"/>
              <w:right w:val="single" w:color="auto" w:sz="4" w:space="0"/>
            </w:tcBorders>
            <w:vAlign w:val="center"/>
          </w:tcPr>
          <w:p w14:paraId="1B096889">
            <w:pPr>
              <w:spacing w:line="360" w:lineRule="auto"/>
              <w:jc w:val="center"/>
              <w:rPr>
                <w:highlight w:val="none"/>
              </w:rPr>
            </w:pPr>
          </w:p>
        </w:tc>
        <w:tc>
          <w:tcPr>
            <w:tcW w:w="862" w:type="dxa"/>
            <w:tcBorders>
              <w:top w:val="single" w:color="auto" w:sz="4" w:space="0"/>
              <w:left w:val="single" w:color="auto" w:sz="4" w:space="0"/>
              <w:bottom w:val="single" w:color="auto" w:sz="4" w:space="0"/>
              <w:right w:val="single" w:color="auto" w:sz="4" w:space="0"/>
            </w:tcBorders>
            <w:vAlign w:val="center"/>
          </w:tcPr>
          <w:p w14:paraId="25387F59">
            <w:pPr>
              <w:spacing w:line="360" w:lineRule="auto"/>
              <w:jc w:val="center"/>
              <w:rPr>
                <w:highlight w:val="none"/>
              </w:rPr>
            </w:pPr>
          </w:p>
        </w:tc>
      </w:tr>
      <w:tr w14:paraId="517DB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7" w:type="dxa"/>
            <w:tcBorders>
              <w:top w:val="single" w:color="auto" w:sz="4" w:space="0"/>
              <w:left w:val="single" w:color="auto" w:sz="4" w:space="0"/>
              <w:bottom w:val="single" w:color="auto" w:sz="4" w:space="0"/>
              <w:right w:val="single" w:color="auto" w:sz="4" w:space="0"/>
            </w:tcBorders>
            <w:vAlign w:val="center"/>
          </w:tcPr>
          <w:p w14:paraId="0CD77814">
            <w:pPr>
              <w:jc w:val="center"/>
              <w:rPr>
                <w:rFonts w:ascii="仿宋" w:hAnsi="仿宋" w:eastAsia="仿宋"/>
                <w:sz w:val="24"/>
                <w:szCs w:val="24"/>
                <w:highlight w:val="none"/>
              </w:rPr>
            </w:pPr>
            <w:r>
              <w:rPr>
                <w:rFonts w:hint="eastAsia"/>
                <w:highlight w:val="none"/>
              </w:rPr>
              <w:t>100</w:t>
            </w:r>
          </w:p>
        </w:tc>
        <w:tc>
          <w:tcPr>
            <w:tcW w:w="3507" w:type="dxa"/>
            <w:tcBorders>
              <w:top w:val="single" w:color="auto" w:sz="4" w:space="0"/>
              <w:left w:val="single" w:color="auto" w:sz="4" w:space="0"/>
              <w:bottom w:val="single" w:color="auto" w:sz="4" w:space="0"/>
              <w:right w:val="single" w:color="auto" w:sz="4" w:space="0"/>
            </w:tcBorders>
            <w:vAlign w:val="center"/>
          </w:tcPr>
          <w:p w14:paraId="1E38075D">
            <w:pPr>
              <w:jc w:val="left"/>
              <w:rPr>
                <w:rFonts w:ascii="仿宋" w:hAnsi="仿宋" w:eastAsia="仿宋"/>
                <w:b/>
                <w:sz w:val="24"/>
                <w:szCs w:val="24"/>
                <w:highlight w:val="none"/>
              </w:rPr>
            </w:pPr>
            <w:r>
              <w:rPr>
                <w:rFonts w:hint="eastAsia"/>
                <w:b/>
                <w:szCs w:val="21"/>
                <w:highlight w:val="none"/>
              </w:rPr>
              <w:t>总议案：除累积投票提案外的所有提案</w:t>
            </w:r>
          </w:p>
        </w:tc>
        <w:tc>
          <w:tcPr>
            <w:tcW w:w="1129" w:type="dxa"/>
            <w:tcBorders>
              <w:top w:val="single" w:color="auto" w:sz="4" w:space="0"/>
              <w:left w:val="single" w:color="auto" w:sz="4" w:space="0"/>
              <w:bottom w:val="single" w:color="auto" w:sz="4" w:space="0"/>
              <w:right w:val="single" w:color="auto" w:sz="4" w:space="0"/>
            </w:tcBorders>
            <w:vAlign w:val="center"/>
          </w:tcPr>
          <w:p w14:paraId="2CA5C494">
            <w:pPr>
              <w:jc w:val="center"/>
              <w:rPr>
                <w:rFonts w:ascii="仿宋" w:hAnsi="仿宋" w:eastAsia="仿宋"/>
                <w:b/>
                <w:sz w:val="24"/>
                <w:szCs w:val="24"/>
                <w:highlight w:val="none"/>
              </w:rPr>
            </w:pPr>
            <w:r>
              <w:rPr>
                <w:rFonts w:hint="eastAsia"/>
                <w:highlight w:val="none"/>
              </w:rPr>
              <w:t>√</w:t>
            </w:r>
          </w:p>
        </w:tc>
        <w:tc>
          <w:tcPr>
            <w:tcW w:w="938" w:type="dxa"/>
            <w:tcBorders>
              <w:top w:val="single" w:color="auto" w:sz="4" w:space="0"/>
              <w:left w:val="single" w:color="auto" w:sz="4" w:space="0"/>
              <w:bottom w:val="single" w:color="auto" w:sz="4" w:space="0"/>
              <w:right w:val="single" w:color="auto" w:sz="4" w:space="0"/>
            </w:tcBorders>
            <w:vAlign w:val="center"/>
          </w:tcPr>
          <w:p w14:paraId="3E18F1A1">
            <w:pPr>
              <w:jc w:val="center"/>
              <w:rPr>
                <w:rFonts w:ascii="仿宋" w:hAnsi="仿宋" w:eastAsia="仿宋"/>
                <w:b/>
                <w:sz w:val="24"/>
                <w:szCs w:val="24"/>
                <w:highlight w:val="none"/>
              </w:rPr>
            </w:pPr>
          </w:p>
        </w:tc>
        <w:tc>
          <w:tcPr>
            <w:tcW w:w="938" w:type="dxa"/>
            <w:tcBorders>
              <w:top w:val="single" w:color="auto" w:sz="4" w:space="0"/>
              <w:left w:val="single" w:color="auto" w:sz="4" w:space="0"/>
              <w:bottom w:val="single" w:color="auto" w:sz="4" w:space="0"/>
              <w:right w:val="single" w:color="auto" w:sz="4" w:space="0"/>
            </w:tcBorders>
            <w:vAlign w:val="center"/>
          </w:tcPr>
          <w:p w14:paraId="5C4BFC8B">
            <w:pPr>
              <w:jc w:val="center"/>
              <w:rPr>
                <w:rFonts w:ascii="仿宋" w:hAnsi="仿宋" w:eastAsia="仿宋"/>
                <w:b/>
                <w:sz w:val="24"/>
                <w:szCs w:val="24"/>
                <w:highlight w:val="none"/>
              </w:rPr>
            </w:pPr>
          </w:p>
        </w:tc>
        <w:tc>
          <w:tcPr>
            <w:tcW w:w="862" w:type="dxa"/>
            <w:tcBorders>
              <w:top w:val="single" w:color="auto" w:sz="4" w:space="0"/>
              <w:left w:val="single" w:color="auto" w:sz="4" w:space="0"/>
              <w:bottom w:val="single" w:color="auto" w:sz="4" w:space="0"/>
              <w:right w:val="single" w:color="auto" w:sz="4" w:space="0"/>
            </w:tcBorders>
            <w:vAlign w:val="center"/>
          </w:tcPr>
          <w:p w14:paraId="11044991">
            <w:pPr>
              <w:jc w:val="center"/>
              <w:rPr>
                <w:rFonts w:ascii="仿宋" w:hAnsi="仿宋" w:eastAsia="仿宋"/>
                <w:b/>
                <w:sz w:val="24"/>
                <w:szCs w:val="24"/>
                <w:highlight w:val="none"/>
              </w:rPr>
            </w:pPr>
          </w:p>
        </w:tc>
      </w:tr>
      <w:tr w14:paraId="4E006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51" w:type="dxa"/>
            <w:gridSpan w:val="6"/>
            <w:tcBorders>
              <w:top w:val="single" w:color="auto" w:sz="4" w:space="0"/>
              <w:left w:val="single" w:color="auto" w:sz="4" w:space="0"/>
              <w:bottom w:val="single" w:color="auto" w:sz="4" w:space="0"/>
              <w:right w:val="single" w:color="auto" w:sz="4" w:space="0"/>
            </w:tcBorders>
            <w:vAlign w:val="center"/>
          </w:tcPr>
          <w:p w14:paraId="61DF7CB4">
            <w:pPr>
              <w:jc w:val="center"/>
              <w:rPr>
                <w:rFonts w:ascii="仿宋" w:hAnsi="仿宋" w:eastAsia="仿宋"/>
                <w:b/>
                <w:sz w:val="24"/>
                <w:szCs w:val="24"/>
                <w:highlight w:val="none"/>
              </w:rPr>
            </w:pPr>
            <w:r>
              <w:rPr>
                <w:rFonts w:hint="eastAsia" w:ascii="仿宋" w:hAnsi="仿宋" w:eastAsia="仿宋"/>
                <w:sz w:val="24"/>
                <w:szCs w:val="24"/>
                <w:highlight w:val="none"/>
              </w:rPr>
              <w:t>非累积投票提案</w:t>
            </w:r>
          </w:p>
        </w:tc>
      </w:tr>
      <w:tr w14:paraId="7426F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580ADBBA">
            <w:pPr>
              <w:jc w:val="center"/>
              <w:rPr>
                <w:rFonts w:ascii="Times New Roman" w:hAnsi="Times New Roman" w:eastAsia="宋体" w:cs="Times New Roman"/>
                <w:kern w:val="2"/>
                <w:sz w:val="21"/>
                <w:szCs w:val="21"/>
                <w:highlight w:val="none"/>
                <w:lang w:val="en-US" w:eastAsia="zh-CN" w:bidi="ar-SA"/>
              </w:rPr>
            </w:pPr>
            <w:r>
              <w:rPr>
                <w:sz w:val="21"/>
                <w:szCs w:val="21"/>
                <w:highlight w:val="none"/>
              </w:rPr>
              <w:t>1.00</w:t>
            </w:r>
          </w:p>
        </w:tc>
        <w:tc>
          <w:tcPr>
            <w:tcW w:w="3507" w:type="dxa"/>
            <w:tcBorders>
              <w:top w:val="single" w:color="auto" w:sz="4" w:space="0"/>
              <w:left w:val="single" w:color="auto" w:sz="4" w:space="0"/>
              <w:bottom w:val="single" w:color="auto" w:sz="4" w:space="0"/>
              <w:right w:val="single" w:color="auto" w:sz="4" w:space="0"/>
            </w:tcBorders>
            <w:shd w:val="clear" w:color="auto" w:fill="auto"/>
            <w:vAlign w:val="center"/>
          </w:tcPr>
          <w:p w14:paraId="2DD6B27D">
            <w:pPr>
              <w:jc w:val="left"/>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lang w:val="en-US" w:eastAsia="zh-CN"/>
              </w:rPr>
              <w:t>关于修订</w:t>
            </w:r>
            <w:r>
              <w:rPr>
                <w:rFonts w:hint="eastAsia" w:ascii="Times New Roman" w:hAnsi="Times New Roman" w:cs="Times New Roman"/>
                <w:sz w:val="21"/>
                <w:szCs w:val="21"/>
                <w:highlight w:val="none"/>
                <w:lang w:val="en-US" w:eastAsia="zh-CN"/>
              </w:rPr>
              <w:t>&lt;</w:t>
            </w:r>
            <w:r>
              <w:rPr>
                <w:rFonts w:hint="default" w:ascii="Times New Roman" w:hAnsi="Times New Roman" w:cs="Times New Roman"/>
                <w:sz w:val="21"/>
                <w:szCs w:val="21"/>
                <w:highlight w:val="none"/>
                <w:lang w:val="en-US" w:eastAsia="zh-CN"/>
              </w:rPr>
              <w:t>公司章程</w:t>
            </w:r>
            <w:r>
              <w:rPr>
                <w:rFonts w:hint="eastAsia" w:ascii="Times New Roman" w:hAnsi="Times New Roman" w:cs="Times New Roman"/>
                <w:sz w:val="21"/>
                <w:szCs w:val="21"/>
                <w:highlight w:val="none"/>
                <w:lang w:val="en-US" w:eastAsia="zh-CN"/>
              </w:rPr>
              <w:t>&gt;</w:t>
            </w:r>
            <w:r>
              <w:rPr>
                <w:rFonts w:hint="default" w:ascii="Times New Roman" w:hAnsi="Times New Roman" w:cs="Times New Roman"/>
                <w:sz w:val="21"/>
                <w:szCs w:val="21"/>
                <w:highlight w:val="none"/>
                <w:lang w:val="en-US" w:eastAsia="zh-CN"/>
              </w:rPr>
              <w:t>及其附件的议案</w:t>
            </w:r>
            <w:r>
              <w:rPr>
                <w:rFonts w:hint="eastAsia" w:ascii="Times New Roman" w:hAnsi="Times New Roman" w:cs="Times New Roman"/>
                <w:sz w:val="21"/>
                <w:szCs w:val="21"/>
                <w:highlight w:val="none"/>
                <w:lang w:val="en-US" w:eastAsia="zh-CN"/>
              </w:rPr>
              <w:t>》</w:t>
            </w:r>
          </w:p>
        </w:tc>
        <w:tc>
          <w:tcPr>
            <w:tcW w:w="1129" w:type="dxa"/>
            <w:tcBorders>
              <w:top w:val="single" w:color="auto" w:sz="4" w:space="0"/>
              <w:left w:val="single" w:color="auto" w:sz="4" w:space="0"/>
              <w:bottom w:val="single" w:color="auto" w:sz="4" w:space="0"/>
              <w:right w:val="single" w:color="auto" w:sz="4" w:space="0"/>
            </w:tcBorders>
            <w:vAlign w:val="center"/>
          </w:tcPr>
          <w:p w14:paraId="378FA716">
            <w:pPr>
              <w:jc w:val="center"/>
              <w:rPr>
                <w:rFonts w:ascii="仿宋" w:hAnsi="仿宋" w:eastAsia="仿宋"/>
                <w:sz w:val="21"/>
                <w:szCs w:val="21"/>
                <w:highlight w:val="none"/>
              </w:rPr>
            </w:pPr>
            <w:r>
              <w:rPr>
                <w:rFonts w:hint="eastAsia"/>
                <w:sz w:val="21"/>
                <w:szCs w:val="21"/>
                <w:highlight w:val="none"/>
              </w:rPr>
              <w:t>√</w:t>
            </w:r>
          </w:p>
        </w:tc>
        <w:tc>
          <w:tcPr>
            <w:tcW w:w="938" w:type="dxa"/>
            <w:tcBorders>
              <w:top w:val="single" w:color="auto" w:sz="4" w:space="0"/>
              <w:left w:val="single" w:color="auto" w:sz="4" w:space="0"/>
              <w:bottom w:val="single" w:color="auto" w:sz="4" w:space="0"/>
              <w:right w:val="single" w:color="auto" w:sz="4" w:space="0"/>
            </w:tcBorders>
            <w:vAlign w:val="center"/>
          </w:tcPr>
          <w:p w14:paraId="3EB7B22C">
            <w:pPr>
              <w:jc w:val="center"/>
              <w:rPr>
                <w:rFonts w:ascii="仿宋" w:hAnsi="仿宋" w:eastAsia="仿宋"/>
                <w:sz w:val="21"/>
                <w:szCs w:val="21"/>
                <w:highlight w:val="none"/>
              </w:rPr>
            </w:pPr>
          </w:p>
        </w:tc>
        <w:tc>
          <w:tcPr>
            <w:tcW w:w="938" w:type="dxa"/>
            <w:tcBorders>
              <w:top w:val="single" w:color="auto" w:sz="4" w:space="0"/>
              <w:left w:val="single" w:color="auto" w:sz="4" w:space="0"/>
              <w:bottom w:val="single" w:color="auto" w:sz="4" w:space="0"/>
              <w:right w:val="single" w:color="auto" w:sz="4" w:space="0"/>
            </w:tcBorders>
            <w:vAlign w:val="center"/>
          </w:tcPr>
          <w:p w14:paraId="3E568E2D">
            <w:pPr>
              <w:jc w:val="center"/>
              <w:rPr>
                <w:rFonts w:ascii="仿宋" w:hAnsi="仿宋" w:eastAsia="仿宋"/>
                <w:sz w:val="21"/>
                <w:szCs w:val="21"/>
                <w:highlight w:val="none"/>
              </w:rPr>
            </w:pPr>
          </w:p>
        </w:tc>
        <w:tc>
          <w:tcPr>
            <w:tcW w:w="862" w:type="dxa"/>
            <w:tcBorders>
              <w:top w:val="single" w:color="auto" w:sz="4" w:space="0"/>
              <w:left w:val="single" w:color="auto" w:sz="4" w:space="0"/>
              <w:bottom w:val="single" w:color="auto" w:sz="4" w:space="0"/>
              <w:right w:val="single" w:color="auto" w:sz="4" w:space="0"/>
            </w:tcBorders>
            <w:vAlign w:val="center"/>
          </w:tcPr>
          <w:p w14:paraId="0C8E4134">
            <w:pPr>
              <w:jc w:val="center"/>
              <w:rPr>
                <w:rFonts w:ascii="仿宋" w:hAnsi="仿宋" w:eastAsia="仿宋"/>
                <w:sz w:val="21"/>
                <w:szCs w:val="21"/>
                <w:highlight w:val="none"/>
              </w:rPr>
            </w:pPr>
          </w:p>
        </w:tc>
      </w:tr>
      <w:tr w14:paraId="4AC45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77" w:type="dxa"/>
            <w:shd w:val="clear" w:color="auto" w:fill="auto"/>
            <w:vAlign w:val="center"/>
          </w:tcPr>
          <w:p w14:paraId="7F20684A">
            <w:pPr>
              <w:jc w:val="center"/>
              <w:rPr>
                <w:rFonts w:ascii="Times New Roman" w:hAnsi="Times New Roman" w:eastAsia="宋体" w:cs="Times New Roman"/>
                <w:kern w:val="2"/>
                <w:sz w:val="21"/>
                <w:szCs w:val="21"/>
                <w:highlight w:val="none"/>
                <w:lang w:val="en-US" w:eastAsia="zh-CN" w:bidi="ar-SA"/>
              </w:rPr>
            </w:pPr>
            <w:r>
              <w:rPr>
                <w:sz w:val="21"/>
                <w:szCs w:val="21"/>
                <w:highlight w:val="none"/>
              </w:rPr>
              <w:t>2.00</w:t>
            </w:r>
          </w:p>
        </w:tc>
        <w:tc>
          <w:tcPr>
            <w:tcW w:w="3507" w:type="dxa"/>
            <w:shd w:val="clear" w:color="auto" w:fill="auto"/>
            <w:vAlign w:val="center"/>
          </w:tcPr>
          <w:p w14:paraId="4D204351">
            <w:pPr>
              <w:jc w:val="left"/>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 w:val="21"/>
                <w:szCs w:val="21"/>
                <w:highlight w:val="none"/>
                <w:lang w:val="en-US" w:eastAsia="zh-CN"/>
              </w:rPr>
              <w:t>《关于修订公司部分治理制度的议案</w:t>
            </w:r>
            <w:r>
              <w:rPr>
                <w:rFonts w:hint="default" w:ascii="Times New Roman" w:hAnsi="Times New Roman" w:cs="Times New Roman"/>
                <w:sz w:val="21"/>
                <w:szCs w:val="21"/>
                <w:highlight w:val="none"/>
                <w:lang w:val="en-US" w:eastAsia="zh-CN"/>
              </w:rPr>
              <w:t>》</w:t>
            </w:r>
          </w:p>
        </w:tc>
        <w:tc>
          <w:tcPr>
            <w:tcW w:w="1129" w:type="dxa"/>
            <w:vAlign w:val="center"/>
          </w:tcPr>
          <w:p w14:paraId="33C13A70">
            <w:pPr>
              <w:jc w:val="center"/>
              <w:rPr>
                <w:rFonts w:ascii="仿宋" w:hAnsi="仿宋" w:eastAsia="仿宋"/>
                <w:sz w:val="21"/>
                <w:szCs w:val="21"/>
                <w:highlight w:val="none"/>
              </w:rPr>
            </w:pPr>
            <w:r>
              <w:rPr>
                <w:rFonts w:hint="eastAsia"/>
                <w:sz w:val="21"/>
                <w:szCs w:val="21"/>
                <w:highlight w:val="none"/>
              </w:rPr>
              <w:t>√</w:t>
            </w:r>
          </w:p>
        </w:tc>
        <w:tc>
          <w:tcPr>
            <w:tcW w:w="0" w:type="auto"/>
            <w:vAlign w:val="center"/>
          </w:tcPr>
          <w:p w14:paraId="48B92CDC">
            <w:pPr>
              <w:jc w:val="center"/>
              <w:rPr>
                <w:rFonts w:ascii="仿宋" w:hAnsi="仿宋" w:eastAsia="仿宋"/>
                <w:sz w:val="21"/>
                <w:szCs w:val="21"/>
                <w:highlight w:val="none"/>
              </w:rPr>
            </w:pPr>
          </w:p>
        </w:tc>
        <w:tc>
          <w:tcPr>
            <w:tcW w:w="0" w:type="auto"/>
            <w:vAlign w:val="center"/>
          </w:tcPr>
          <w:p w14:paraId="77D4AED8">
            <w:pPr>
              <w:jc w:val="center"/>
              <w:rPr>
                <w:rFonts w:ascii="仿宋" w:hAnsi="仿宋" w:eastAsia="仿宋"/>
                <w:sz w:val="21"/>
                <w:szCs w:val="21"/>
                <w:highlight w:val="none"/>
              </w:rPr>
            </w:pPr>
          </w:p>
        </w:tc>
        <w:tc>
          <w:tcPr>
            <w:tcW w:w="0" w:type="auto"/>
            <w:vAlign w:val="center"/>
          </w:tcPr>
          <w:p w14:paraId="7599EAE5">
            <w:pPr>
              <w:jc w:val="center"/>
              <w:rPr>
                <w:rFonts w:ascii="仿宋" w:hAnsi="仿宋" w:eastAsia="仿宋"/>
                <w:sz w:val="21"/>
                <w:szCs w:val="21"/>
                <w:highlight w:val="none"/>
              </w:rPr>
            </w:pPr>
          </w:p>
        </w:tc>
      </w:tr>
      <w:tr w14:paraId="39829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77" w:type="dxa"/>
            <w:shd w:val="clear" w:color="auto" w:fill="auto"/>
            <w:vAlign w:val="center"/>
          </w:tcPr>
          <w:p w14:paraId="5E769FA2">
            <w:pPr>
              <w:jc w:val="center"/>
              <w:rPr>
                <w:rFonts w:hint="eastAsia" w:ascii="Times New Roman" w:hAnsi="Times New Roman" w:eastAsia="宋体" w:cs="Times New Roman"/>
                <w:kern w:val="2"/>
                <w:sz w:val="21"/>
                <w:szCs w:val="21"/>
                <w:highlight w:val="none"/>
                <w:lang w:val="en-US" w:eastAsia="zh-CN" w:bidi="ar-SA"/>
              </w:rPr>
            </w:pPr>
            <w:r>
              <w:rPr>
                <w:sz w:val="21"/>
                <w:szCs w:val="21"/>
                <w:highlight w:val="none"/>
              </w:rPr>
              <w:t>2.0</w:t>
            </w:r>
            <w:r>
              <w:rPr>
                <w:rFonts w:hint="eastAsia"/>
                <w:sz w:val="21"/>
                <w:szCs w:val="21"/>
                <w:highlight w:val="none"/>
                <w:lang w:val="en-US" w:eastAsia="zh-CN"/>
              </w:rPr>
              <w:t>1</w:t>
            </w:r>
          </w:p>
        </w:tc>
        <w:tc>
          <w:tcPr>
            <w:tcW w:w="3507" w:type="dxa"/>
            <w:shd w:val="clear" w:color="auto" w:fill="auto"/>
            <w:vAlign w:val="center"/>
          </w:tcPr>
          <w:p w14:paraId="144646D9">
            <w:pPr>
              <w:jc w:val="left"/>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 w:val="21"/>
                <w:szCs w:val="21"/>
                <w:highlight w:val="none"/>
                <w:lang w:val="en-US" w:eastAsia="zh-CN"/>
              </w:rPr>
              <w:t>《修订&lt;股东会网络投票管理制度&gt;的议案》</w:t>
            </w:r>
          </w:p>
        </w:tc>
        <w:tc>
          <w:tcPr>
            <w:tcW w:w="1129" w:type="dxa"/>
            <w:vAlign w:val="center"/>
          </w:tcPr>
          <w:p w14:paraId="1D96384F">
            <w:pPr>
              <w:jc w:val="center"/>
              <w:rPr>
                <w:rFonts w:ascii="仿宋" w:hAnsi="仿宋" w:eastAsia="仿宋"/>
                <w:sz w:val="21"/>
                <w:szCs w:val="21"/>
                <w:highlight w:val="none"/>
              </w:rPr>
            </w:pPr>
            <w:r>
              <w:rPr>
                <w:rFonts w:hint="eastAsia"/>
                <w:sz w:val="21"/>
                <w:szCs w:val="21"/>
                <w:highlight w:val="none"/>
              </w:rPr>
              <w:t>√</w:t>
            </w:r>
          </w:p>
        </w:tc>
        <w:tc>
          <w:tcPr>
            <w:tcW w:w="0" w:type="auto"/>
            <w:vAlign w:val="center"/>
          </w:tcPr>
          <w:p w14:paraId="011D3E58">
            <w:pPr>
              <w:jc w:val="center"/>
              <w:rPr>
                <w:rFonts w:ascii="仿宋" w:hAnsi="仿宋" w:eastAsia="仿宋"/>
                <w:sz w:val="21"/>
                <w:szCs w:val="21"/>
                <w:highlight w:val="none"/>
              </w:rPr>
            </w:pPr>
          </w:p>
        </w:tc>
        <w:tc>
          <w:tcPr>
            <w:tcW w:w="0" w:type="auto"/>
            <w:vAlign w:val="center"/>
          </w:tcPr>
          <w:p w14:paraId="2EE6B41A">
            <w:pPr>
              <w:jc w:val="center"/>
              <w:rPr>
                <w:rFonts w:ascii="仿宋" w:hAnsi="仿宋" w:eastAsia="仿宋"/>
                <w:sz w:val="21"/>
                <w:szCs w:val="21"/>
                <w:highlight w:val="none"/>
              </w:rPr>
            </w:pPr>
          </w:p>
        </w:tc>
        <w:tc>
          <w:tcPr>
            <w:tcW w:w="0" w:type="auto"/>
            <w:vAlign w:val="center"/>
          </w:tcPr>
          <w:p w14:paraId="45DA4F65">
            <w:pPr>
              <w:jc w:val="center"/>
              <w:rPr>
                <w:rFonts w:ascii="仿宋" w:hAnsi="仿宋" w:eastAsia="仿宋"/>
                <w:sz w:val="21"/>
                <w:szCs w:val="21"/>
                <w:highlight w:val="none"/>
              </w:rPr>
            </w:pPr>
          </w:p>
        </w:tc>
      </w:tr>
      <w:tr w14:paraId="2755C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77" w:type="dxa"/>
            <w:shd w:val="clear" w:color="auto" w:fill="auto"/>
            <w:vAlign w:val="center"/>
          </w:tcPr>
          <w:p w14:paraId="2364A418">
            <w:pPr>
              <w:jc w:val="center"/>
              <w:rPr>
                <w:rFonts w:hint="eastAsia" w:ascii="Times New Roman" w:hAnsi="Times New Roman" w:eastAsia="宋体" w:cs="Times New Roman"/>
                <w:kern w:val="2"/>
                <w:sz w:val="21"/>
                <w:szCs w:val="21"/>
                <w:highlight w:val="none"/>
                <w:lang w:val="en-US" w:eastAsia="zh-CN" w:bidi="ar-SA"/>
              </w:rPr>
            </w:pPr>
            <w:r>
              <w:rPr>
                <w:sz w:val="21"/>
                <w:szCs w:val="21"/>
                <w:highlight w:val="none"/>
              </w:rPr>
              <w:t>2.0</w:t>
            </w:r>
            <w:r>
              <w:rPr>
                <w:rFonts w:hint="eastAsia"/>
                <w:sz w:val="21"/>
                <w:szCs w:val="21"/>
                <w:highlight w:val="none"/>
                <w:lang w:val="en-US" w:eastAsia="zh-CN"/>
              </w:rPr>
              <w:t>2</w:t>
            </w:r>
          </w:p>
        </w:tc>
        <w:tc>
          <w:tcPr>
            <w:tcW w:w="3507" w:type="dxa"/>
            <w:shd w:val="clear" w:color="auto" w:fill="auto"/>
            <w:vAlign w:val="center"/>
          </w:tcPr>
          <w:p w14:paraId="2EF57DE1">
            <w:pPr>
              <w:jc w:val="left"/>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 w:val="21"/>
                <w:szCs w:val="21"/>
                <w:highlight w:val="none"/>
                <w:lang w:val="en-US" w:eastAsia="zh-CN"/>
              </w:rPr>
              <w:t>《修订&lt;独立董事工作细则&gt;的议案》</w:t>
            </w:r>
          </w:p>
        </w:tc>
        <w:tc>
          <w:tcPr>
            <w:tcW w:w="1129" w:type="dxa"/>
            <w:vAlign w:val="center"/>
          </w:tcPr>
          <w:p w14:paraId="7060180C">
            <w:pPr>
              <w:jc w:val="center"/>
              <w:rPr>
                <w:rFonts w:ascii="仿宋" w:hAnsi="仿宋" w:eastAsia="仿宋"/>
                <w:sz w:val="21"/>
                <w:szCs w:val="21"/>
                <w:highlight w:val="none"/>
              </w:rPr>
            </w:pPr>
            <w:r>
              <w:rPr>
                <w:rFonts w:hint="eastAsia"/>
                <w:sz w:val="21"/>
                <w:szCs w:val="21"/>
                <w:highlight w:val="none"/>
              </w:rPr>
              <w:t>√</w:t>
            </w:r>
          </w:p>
        </w:tc>
        <w:tc>
          <w:tcPr>
            <w:tcW w:w="0" w:type="auto"/>
            <w:vAlign w:val="center"/>
          </w:tcPr>
          <w:p w14:paraId="17518468">
            <w:pPr>
              <w:jc w:val="center"/>
              <w:rPr>
                <w:rFonts w:ascii="仿宋" w:hAnsi="仿宋" w:eastAsia="仿宋"/>
                <w:sz w:val="21"/>
                <w:szCs w:val="21"/>
                <w:highlight w:val="none"/>
              </w:rPr>
            </w:pPr>
          </w:p>
        </w:tc>
        <w:tc>
          <w:tcPr>
            <w:tcW w:w="0" w:type="auto"/>
            <w:vAlign w:val="center"/>
          </w:tcPr>
          <w:p w14:paraId="56109D1C">
            <w:pPr>
              <w:jc w:val="center"/>
              <w:rPr>
                <w:rFonts w:ascii="仿宋" w:hAnsi="仿宋" w:eastAsia="仿宋"/>
                <w:sz w:val="21"/>
                <w:szCs w:val="21"/>
                <w:highlight w:val="none"/>
              </w:rPr>
            </w:pPr>
          </w:p>
        </w:tc>
        <w:tc>
          <w:tcPr>
            <w:tcW w:w="0" w:type="auto"/>
            <w:vAlign w:val="center"/>
          </w:tcPr>
          <w:p w14:paraId="673510D2">
            <w:pPr>
              <w:jc w:val="center"/>
              <w:rPr>
                <w:rFonts w:ascii="仿宋" w:hAnsi="仿宋" w:eastAsia="仿宋"/>
                <w:sz w:val="21"/>
                <w:szCs w:val="21"/>
                <w:highlight w:val="none"/>
              </w:rPr>
            </w:pPr>
          </w:p>
        </w:tc>
      </w:tr>
      <w:tr w14:paraId="1F979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77" w:type="dxa"/>
            <w:shd w:val="clear" w:color="auto" w:fill="auto"/>
            <w:vAlign w:val="center"/>
          </w:tcPr>
          <w:p w14:paraId="264D6833">
            <w:pPr>
              <w:jc w:val="center"/>
              <w:rPr>
                <w:rFonts w:hint="eastAsia" w:ascii="Times New Roman" w:hAnsi="Times New Roman" w:eastAsia="宋体" w:cs="Times New Roman"/>
                <w:kern w:val="2"/>
                <w:sz w:val="21"/>
                <w:szCs w:val="21"/>
                <w:highlight w:val="none"/>
                <w:lang w:val="en-US" w:eastAsia="zh-CN" w:bidi="ar-SA"/>
              </w:rPr>
            </w:pPr>
            <w:r>
              <w:rPr>
                <w:sz w:val="21"/>
                <w:szCs w:val="21"/>
                <w:highlight w:val="none"/>
              </w:rPr>
              <w:t>2.0</w:t>
            </w:r>
            <w:r>
              <w:rPr>
                <w:rFonts w:hint="eastAsia"/>
                <w:sz w:val="21"/>
                <w:szCs w:val="21"/>
                <w:highlight w:val="none"/>
                <w:lang w:val="en-US" w:eastAsia="zh-CN"/>
              </w:rPr>
              <w:t>3</w:t>
            </w:r>
          </w:p>
        </w:tc>
        <w:tc>
          <w:tcPr>
            <w:tcW w:w="3507" w:type="dxa"/>
            <w:shd w:val="clear" w:color="auto" w:fill="auto"/>
            <w:vAlign w:val="center"/>
          </w:tcPr>
          <w:p w14:paraId="1D071922">
            <w:pPr>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 w:val="21"/>
                <w:szCs w:val="21"/>
                <w:highlight w:val="none"/>
                <w:lang w:val="en-US" w:eastAsia="zh-CN"/>
              </w:rPr>
              <w:t>《修订&lt;累积投票制实施细则&gt;的议案》</w:t>
            </w:r>
          </w:p>
        </w:tc>
        <w:tc>
          <w:tcPr>
            <w:tcW w:w="1129" w:type="dxa"/>
            <w:shd w:val="clear" w:color="auto" w:fill="auto"/>
            <w:vAlign w:val="center"/>
          </w:tcPr>
          <w:p w14:paraId="218A9250">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c>
          <w:tcPr>
            <w:tcW w:w="0" w:type="auto"/>
            <w:shd w:val="clear" w:color="auto" w:fill="auto"/>
            <w:vAlign w:val="center"/>
          </w:tcPr>
          <w:p w14:paraId="57974083">
            <w:pPr>
              <w:jc w:val="center"/>
              <w:rPr>
                <w:rFonts w:ascii="仿宋" w:hAnsi="仿宋" w:eastAsia="仿宋" w:cs="Times New Roman"/>
                <w:kern w:val="2"/>
                <w:sz w:val="21"/>
                <w:szCs w:val="21"/>
                <w:highlight w:val="none"/>
                <w:lang w:val="en-US" w:eastAsia="zh-CN" w:bidi="ar-SA"/>
              </w:rPr>
            </w:pPr>
          </w:p>
        </w:tc>
        <w:tc>
          <w:tcPr>
            <w:tcW w:w="0" w:type="auto"/>
            <w:shd w:val="clear" w:color="auto" w:fill="auto"/>
            <w:vAlign w:val="center"/>
          </w:tcPr>
          <w:p w14:paraId="67D4F979">
            <w:pPr>
              <w:jc w:val="center"/>
              <w:rPr>
                <w:rFonts w:ascii="仿宋" w:hAnsi="仿宋" w:eastAsia="仿宋" w:cs="Times New Roman"/>
                <w:kern w:val="2"/>
                <w:sz w:val="21"/>
                <w:szCs w:val="21"/>
                <w:highlight w:val="none"/>
                <w:lang w:val="en-US" w:eastAsia="zh-CN" w:bidi="ar-SA"/>
              </w:rPr>
            </w:pPr>
          </w:p>
        </w:tc>
        <w:tc>
          <w:tcPr>
            <w:tcW w:w="0" w:type="auto"/>
            <w:shd w:val="clear" w:color="auto" w:fill="auto"/>
            <w:vAlign w:val="center"/>
          </w:tcPr>
          <w:p w14:paraId="0C1DB8F8">
            <w:pPr>
              <w:jc w:val="center"/>
              <w:rPr>
                <w:rFonts w:ascii="仿宋" w:hAnsi="仿宋" w:eastAsia="仿宋" w:cs="Times New Roman"/>
                <w:kern w:val="2"/>
                <w:sz w:val="21"/>
                <w:szCs w:val="21"/>
                <w:highlight w:val="none"/>
                <w:lang w:val="en-US" w:eastAsia="zh-CN" w:bidi="ar-SA"/>
              </w:rPr>
            </w:pPr>
          </w:p>
        </w:tc>
      </w:tr>
      <w:tr w14:paraId="684B0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77" w:type="dxa"/>
            <w:shd w:val="clear" w:color="auto" w:fill="auto"/>
            <w:vAlign w:val="center"/>
          </w:tcPr>
          <w:p w14:paraId="47149C4B">
            <w:pPr>
              <w:jc w:val="center"/>
              <w:rPr>
                <w:rFonts w:hint="eastAsia" w:ascii="Times New Roman" w:hAnsi="Times New Roman" w:eastAsia="宋体" w:cs="Times New Roman"/>
                <w:kern w:val="2"/>
                <w:sz w:val="21"/>
                <w:szCs w:val="21"/>
                <w:highlight w:val="none"/>
                <w:lang w:val="en-US" w:eastAsia="zh-CN" w:bidi="ar-SA"/>
              </w:rPr>
            </w:pPr>
            <w:r>
              <w:rPr>
                <w:sz w:val="21"/>
                <w:szCs w:val="21"/>
                <w:highlight w:val="none"/>
              </w:rPr>
              <w:t>2.0</w:t>
            </w:r>
            <w:r>
              <w:rPr>
                <w:rFonts w:hint="eastAsia"/>
                <w:sz w:val="21"/>
                <w:szCs w:val="21"/>
                <w:highlight w:val="none"/>
                <w:lang w:val="en-US" w:eastAsia="zh-CN"/>
              </w:rPr>
              <w:t>4</w:t>
            </w:r>
          </w:p>
        </w:tc>
        <w:tc>
          <w:tcPr>
            <w:tcW w:w="3507" w:type="dxa"/>
            <w:shd w:val="clear" w:color="auto" w:fill="auto"/>
            <w:vAlign w:val="center"/>
          </w:tcPr>
          <w:p w14:paraId="00C15170">
            <w:pPr>
              <w:jc w:val="left"/>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 w:val="21"/>
                <w:szCs w:val="21"/>
                <w:highlight w:val="none"/>
                <w:lang w:val="en-US" w:eastAsia="zh-CN"/>
              </w:rPr>
              <w:t>《修订&lt;利润分配管理制度&gt;的议案》</w:t>
            </w:r>
          </w:p>
        </w:tc>
        <w:tc>
          <w:tcPr>
            <w:tcW w:w="1129" w:type="dxa"/>
            <w:vAlign w:val="center"/>
          </w:tcPr>
          <w:p w14:paraId="26CD4A06">
            <w:pPr>
              <w:jc w:val="center"/>
              <w:rPr>
                <w:rFonts w:ascii="仿宋" w:hAnsi="仿宋" w:eastAsia="仿宋"/>
                <w:sz w:val="21"/>
                <w:szCs w:val="21"/>
                <w:highlight w:val="none"/>
              </w:rPr>
            </w:pPr>
            <w:r>
              <w:rPr>
                <w:rFonts w:hint="eastAsia"/>
                <w:sz w:val="21"/>
                <w:szCs w:val="21"/>
                <w:highlight w:val="none"/>
              </w:rPr>
              <w:t>√</w:t>
            </w:r>
          </w:p>
        </w:tc>
        <w:tc>
          <w:tcPr>
            <w:tcW w:w="0" w:type="auto"/>
            <w:vAlign w:val="center"/>
          </w:tcPr>
          <w:p w14:paraId="69FF8294">
            <w:pPr>
              <w:jc w:val="center"/>
              <w:rPr>
                <w:rFonts w:ascii="仿宋" w:hAnsi="仿宋" w:eastAsia="仿宋"/>
                <w:sz w:val="21"/>
                <w:szCs w:val="21"/>
                <w:highlight w:val="none"/>
              </w:rPr>
            </w:pPr>
          </w:p>
        </w:tc>
        <w:tc>
          <w:tcPr>
            <w:tcW w:w="0" w:type="auto"/>
            <w:vAlign w:val="center"/>
          </w:tcPr>
          <w:p w14:paraId="71B5E30E">
            <w:pPr>
              <w:jc w:val="center"/>
              <w:rPr>
                <w:rFonts w:ascii="仿宋" w:hAnsi="仿宋" w:eastAsia="仿宋"/>
                <w:sz w:val="21"/>
                <w:szCs w:val="21"/>
                <w:highlight w:val="none"/>
              </w:rPr>
            </w:pPr>
          </w:p>
        </w:tc>
        <w:tc>
          <w:tcPr>
            <w:tcW w:w="0" w:type="auto"/>
            <w:vAlign w:val="center"/>
          </w:tcPr>
          <w:p w14:paraId="05D46874">
            <w:pPr>
              <w:jc w:val="center"/>
              <w:rPr>
                <w:rFonts w:ascii="仿宋" w:hAnsi="仿宋" w:eastAsia="仿宋"/>
                <w:sz w:val="21"/>
                <w:szCs w:val="21"/>
                <w:highlight w:val="none"/>
              </w:rPr>
            </w:pPr>
          </w:p>
        </w:tc>
      </w:tr>
      <w:tr w14:paraId="3BB1F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77" w:type="dxa"/>
            <w:shd w:val="clear" w:color="auto" w:fill="auto"/>
            <w:vAlign w:val="center"/>
          </w:tcPr>
          <w:p w14:paraId="5D415872">
            <w:pPr>
              <w:jc w:val="center"/>
              <w:rPr>
                <w:rFonts w:hint="eastAsia" w:ascii="Times New Roman" w:hAnsi="Times New Roman" w:eastAsia="宋体" w:cs="Times New Roman"/>
                <w:kern w:val="2"/>
                <w:sz w:val="21"/>
                <w:szCs w:val="21"/>
                <w:highlight w:val="none"/>
                <w:lang w:val="en-US" w:eastAsia="zh-CN" w:bidi="ar-SA"/>
              </w:rPr>
            </w:pPr>
            <w:r>
              <w:rPr>
                <w:sz w:val="21"/>
                <w:szCs w:val="21"/>
                <w:highlight w:val="none"/>
              </w:rPr>
              <w:t>2.0</w:t>
            </w:r>
            <w:r>
              <w:rPr>
                <w:rFonts w:hint="eastAsia"/>
                <w:sz w:val="21"/>
                <w:szCs w:val="21"/>
                <w:highlight w:val="none"/>
                <w:lang w:val="en-US" w:eastAsia="zh-CN"/>
              </w:rPr>
              <w:t>5</w:t>
            </w:r>
          </w:p>
        </w:tc>
        <w:tc>
          <w:tcPr>
            <w:tcW w:w="3507" w:type="dxa"/>
            <w:shd w:val="clear" w:color="auto" w:fill="auto"/>
            <w:vAlign w:val="center"/>
          </w:tcPr>
          <w:p w14:paraId="3D0D186D">
            <w:pPr>
              <w:jc w:val="left"/>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 w:val="21"/>
                <w:szCs w:val="21"/>
                <w:highlight w:val="none"/>
                <w:lang w:val="en-US" w:eastAsia="zh-CN"/>
              </w:rPr>
              <w:t>《修订&lt;关联交易管理办法&gt;的议案》</w:t>
            </w:r>
          </w:p>
        </w:tc>
        <w:tc>
          <w:tcPr>
            <w:tcW w:w="1129" w:type="dxa"/>
            <w:vAlign w:val="center"/>
          </w:tcPr>
          <w:p w14:paraId="1C96DC41">
            <w:pPr>
              <w:jc w:val="center"/>
              <w:rPr>
                <w:rFonts w:ascii="仿宋" w:hAnsi="仿宋" w:eastAsia="仿宋"/>
                <w:sz w:val="21"/>
                <w:szCs w:val="21"/>
                <w:highlight w:val="none"/>
              </w:rPr>
            </w:pPr>
            <w:r>
              <w:rPr>
                <w:rFonts w:hint="eastAsia"/>
                <w:sz w:val="21"/>
                <w:szCs w:val="21"/>
                <w:highlight w:val="none"/>
              </w:rPr>
              <w:t>√</w:t>
            </w:r>
          </w:p>
        </w:tc>
        <w:tc>
          <w:tcPr>
            <w:tcW w:w="0" w:type="auto"/>
            <w:vAlign w:val="center"/>
          </w:tcPr>
          <w:p w14:paraId="23CB1203">
            <w:pPr>
              <w:jc w:val="center"/>
              <w:rPr>
                <w:rFonts w:ascii="仿宋" w:hAnsi="仿宋" w:eastAsia="仿宋"/>
                <w:sz w:val="21"/>
                <w:szCs w:val="21"/>
                <w:highlight w:val="none"/>
              </w:rPr>
            </w:pPr>
          </w:p>
        </w:tc>
        <w:tc>
          <w:tcPr>
            <w:tcW w:w="0" w:type="auto"/>
            <w:vAlign w:val="center"/>
          </w:tcPr>
          <w:p w14:paraId="200D561B">
            <w:pPr>
              <w:jc w:val="center"/>
              <w:rPr>
                <w:rFonts w:ascii="仿宋" w:hAnsi="仿宋" w:eastAsia="仿宋"/>
                <w:sz w:val="21"/>
                <w:szCs w:val="21"/>
                <w:highlight w:val="none"/>
              </w:rPr>
            </w:pPr>
          </w:p>
        </w:tc>
        <w:tc>
          <w:tcPr>
            <w:tcW w:w="0" w:type="auto"/>
            <w:vAlign w:val="center"/>
          </w:tcPr>
          <w:p w14:paraId="07890A52">
            <w:pPr>
              <w:jc w:val="center"/>
              <w:rPr>
                <w:rFonts w:ascii="仿宋" w:hAnsi="仿宋" w:eastAsia="仿宋"/>
                <w:sz w:val="21"/>
                <w:szCs w:val="21"/>
                <w:highlight w:val="none"/>
              </w:rPr>
            </w:pPr>
          </w:p>
        </w:tc>
      </w:tr>
      <w:tr w14:paraId="1E556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77" w:type="dxa"/>
            <w:shd w:val="clear" w:color="auto" w:fill="auto"/>
            <w:vAlign w:val="center"/>
          </w:tcPr>
          <w:p w14:paraId="0D196176">
            <w:pPr>
              <w:jc w:val="center"/>
              <w:rPr>
                <w:rFonts w:hint="eastAsia" w:ascii="Times New Roman" w:hAnsi="Times New Roman" w:eastAsia="宋体" w:cs="Times New Roman"/>
                <w:kern w:val="2"/>
                <w:sz w:val="21"/>
                <w:szCs w:val="21"/>
                <w:highlight w:val="none"/>
                <w:lang w:val="en-US" w:eastAsia="zh-CN" w:bidi="ar-SA"/>
              </w:rPr>
            </w:pPr>
            <w:r>
              <w:rPr>
                <w:sz w:val="21"/>
                <w:szCs w:val="21"/>
                <w:highlight w:val="none"/>
              </w:rPr>
              <w:t>2.0</w:t>
            </w:r>
            <w:r>
              <w:rPr>
                <w:rFonts w:hint="eastAsia"/>
                <w:sz w:val="21"/>
                <w:szCs w:val="21"/>
                <w:highlight w:val="none"/>
                <w:lang w:val="en-US" w:eastAsia="zh-CN"/>
              </w:rPr>
              <w:t>6</w:t>
            </w:r>
          </w:p>
        </w:tc>
        <w:tc>
          <w:tcPr>
            <w:tcW w:w="3507" w:type="dxa"/>
            <w:shd w:val="clear" w:color="auto" w:fill="auto"/>
            <w:vAlign w:val="center"/>
          </w:tcPr>
          <w:p w14:paraId="68727B4C">
            <w:pPr>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 w:val="21"/>
                <w:szCs w:val="21"/>
                <w:highlight w:val="none"/>
                <w:lang w:val="en-US" w:eastAsia="zh-CN"/>
              </w:rPr>
              <w:t>《修订&lt;对外投资管理制度&gt;的议案》</w:t>
            </w:r>
          </w:p>
        </w:tc>
        <w:tc>
          <w:tcPr>
            <w:tcW w:w="1129" w:type="dxa"/>
            <w:vAlign w:val="center"/>
          </w:tcPr>
          <w:p w14:paraId="2B1758BC">
            <w:pPr>
              <w:jc w:val="center"/>
              <w:rPr>
                <w:rFonts w:ascii="仿宋" w:hAnsi="仿宋" w:eastAsia="仿宋"/>
                <w:sz w:val="21"/>
                <w:szCs w:val="21"/>
                <w:highlight w:val="none"/>
              </w:rPr>
            </w:pPr>
            <w:r>
              <w:rPr>
                <w:rFonts w:hint="eastAsia"/>
                <w:sz w:val="21"/>
                <w:szCs w:val="21"/>
                <w:highlight w:val="none"/>
              </w:rPr>
              <w:t>√</w:t>
            </w:r>
          </w:p>
        </w:tc>
        <w:tc>
          <w:tcPr>
            <w:tcW w:w="0" w:type="auto"/>
            <w:vAlign w:val="center"/>
          </w:tcPr>
          <w:p w14:paraId="10EC8AE3">
            <w:pPr>
              <w:jc w:val="center"/>
              <w:rPr>
                <w:rFonts w:ascii="仿宋" w:hAnsi="仿宋" w:eastAsia="仿宋"/>
                <w:sz w:val="21"/>
                <w:szCs w:val="21"/>
                <w:highlight w:val="none"/>
              </w:rPr>
            </w:pPr>
          </w:p>
        </w:tc>
        <w:tc>
          <w:tcPr>
            <w:tcW w:w="0" w:type="auto"/>
            <w:vAlign w:val="center"/>
          </w:tcPr>
          <w:p w14:paraId="0DEE8BF7">
            <w:pPr>
              <w:jc w:val="center"/>
              <w:rPr>
                <w:rFonts w:ascii="仿宋" w:hAnsi="仿宋" w:eastAsia="仿宋"/>
                <w:sz w:val="21"/>
                <w:szCs w:val="21"/>
                <w:highlight w:val="none"/>
              </w:rPr>
            </w:pPr>
          </w:p>
        </w:tc>
        <w:tc>
          <w:tcPr>
            <w:tcW w:w="0" w:type="auto"/>
            <w:vAlign w:val="center"/>
          </w:tcPr>
          <w:p w14:paraId="3B47E35A">
            <w:pPr>
              <w:jc w:val="center"/>
              <w:rPr>
                <w:rFonts w:ascii="仿宋" w:hAnsi="仿宋" w:eastAsia="仿宋"/>
                <w:sz w:val="21"/>
                <w:szCs w:val="21"/>
                <w:highlight w:val="none"/>
              </w:rPr>
            </w:pPr>
          </w:p>
        </w:tc>
      </w:tr>
      <w:tr w14:paraId="408CC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77" w:type="dxa"/>
            <w:shd w:val="clear" w:color="auto" w:fill="auto"/>
            <w:vAlign w:val="center"/>
          </w:tcPr>
          <w:p w14:paraId="302BA35B">
            <w:pPr>
              <w:jc w:val="center"/>
              <w:rPr>
                <w:rFonts w:hint="eastAsia" w:ascii="Times New Roman" w:hAnsi="Times New Roman" w:eastAsia="宋体" w:cs="Times New Roman"/>
                <w:kern w:val="2"/>
                <w:sz w:val="21"/>
                <w:szCs w:val="21"/>
                <w:highlight w:val="none"/>
                <w:lang w:val="en-US" w:eastAsia="zh-CN" w:bidi="ar-SA"/>
              </w:rPr>
            </w:pPr>
            <w:r>
              <w:rPr>
                <w:sz w:val="21"/>
                <w:szCs w:val="21"/>
                <w:highlight w:val="none"/>
              </w:rPr>
              <w:t>2.0</w:t>
            </w:r>
            <w:r>
              <w:rPr>
                <w:rFonts w:hint="eastAsia"/>
                <w:sz w:val="21"/>
                <w:szCs w:val="21"/>
                <w:highlight w:val="none"/>
                <w:lang w:val="en-US" w:eastAsia="zh-CN"/>
              </w:rPr>
              <w:t>7</w:t>
            </w:r>
          </w:p>
        </w:tc>
        <w:tc>
          <w:tcPr>
            <w:tcW w:w="3507" w:type="dxa"/>
            <w:shd w:val="clear" w:color="auto" w:fill="auto"/>
            <w:vAlign w:val="center"/>
          </w:tcPr>
          <w:p w14:paraId="113765D2">
            <w:pPr>
              <w:jc w:val="left"/>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 w:val="21"/>
                <w:szCs w:val="21"/>
                <w:highlight w:val="none"/>
                <w:lang w:val="en-US" w:eastAsia="zh-CN"/>
              </w:rPr>
              <w:t>《修订&lt;对外担保管理制度&gt;的议案》</w:t>
            </w:r>
          </w:p>
        </w:tc>
        <w:tc>
          <w:tcPr>
            <w:tcW w:w="1129" w:type="dxa"/>
            <w:vAlign w:val="center"/>
          </w:tcPr>
          <w:p w14:paraId="708C0130">
            <w:pPr>
              <w:jc w:val="center"/>
              <w:rPr>
                <w:rFonts w:ascii="仿宋" w:hAnsi="仿宋" w:eastAsia="仿宋"/>
                <w:sz w:val="21"/>
                <w:szCs w:val="21"/>
                <w:highlight w:val="none"/>
              </w:rPr>
            </w:pPr>
            <w:r>
              <w:rPr>
                <w:rFonts w:hint="eastAsia"/>
                <w:sz w:val="21"/>
                <w:szCs w:val="21"/>
                <w:highlight w:val="none"/>
              </w:rPr>
              <w:t>√</w:t>
            </w:r>
          </w:p>
        </w:tc>
        <w:tc>
          <w:tcPr>
            <w:tcW w:w="0" w:type="auto"/>
            <w:vAlign w:val="center"/>
          </w:tcPr>
          <w:p w14:paraId="0059EC90">
            <w:pPr>
              <w:jc w:val="center"/>
              <w:rPr>
                <w:rFonts w:ascii="仿宋" w:hAnsi="仿宋" w:eastAsia="仿宋"/>
                <w:sz w:val="21"/>
                <w:szCs w:val="21"/>
                <w:highlight w:val="none"/>
              </w:rPr>
            </w:pPr>
          </w:p>
        </w:tc>
        <w:tc>
          <w:tcPr>
            <w:tcW w:w="0" w:type="auto"/>
            <w:vAlign w:val="center"/>
          </w:tcPr>
          <w:p w14:paraId="785955F0">
            <w:pPr>
              <w:jc w:val="center"/>
              <w:rPr>
                <w:rFonts w:ascii="仿宋" w:hAnsi="仿宋" w:eastAsia="仿宋"/>
                <w:sz w:val="21"/>
                <w:szCs w:val="21"/>
                <w:highlight w:val="none"/>
              </w:rPr>
            </w:pPr>
          </w:p>
        </w:tc>
        <w:tc>
          <w:tcPr>
            <w:tcW w:w="0" w:type="auto"/>
            <w:vAlign w:val="center"/>
          </w:tcPr>
          <w:p w14:paraId="552E8999">
            <w:pPr>
              <w:jc w:val="center"/>
              <w:rPr>
                <w:rFonts w:ascii="仿宋" w:hAnsi="仿宋" w:eastAsia="仿宋"/>
                <w:sz w:val="21"/>
                <w:szCs w:val="21"/>
                <w:highlight w:val="none"/>
              </w:rPr>
            </w:pPr>
          </w:p>
        </w:tc>
      </w:tr>
      <w:tr w14:paraId="11F3D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77" w:type="dxa"/>
            <w:shd w:val="clear" w:color="auto" w:fill="auto"/>
            <w:vAlign w:val="center"/>
          </w:tcPr>
          <w:p w14:paraId="27BD4AB8">
            <w:pPr>
              <w:jc w:val="center"/>
              <w:rPr>
                <w:rFonts w:hint="eastAsia" w:ascii="Times New Roman" w:hAnsi="Times New Roman" w:eastAsia="宋体" w:cs="Times New Roman"/>
                <w:kern w:val="2"/>
                <w:sz w:val="21"/>
                <w:szCs w:val="21"/>
                <w:highlight w:val="none"/>
                <w:lang w:val="en-US" w:eastAsia="zh-CN" w:bidi="ar-SA"/>
              </w:rPr>
            </w:pPr>
            <w:r>
              <w:rPr>
                <w:sz w:val="21"/>
                <w:szCs w:val="21"/>
                <w:highlight w:val="none"/>
              </w:rPr>
              <w:t>2.0</w:t>
            </w:r>
            <w:r>
              <w:rPr>
                <w:rFonts w:hint="eastAsia"/>
                <w:sz w:val="21"/>
                <w:szCs w:val="21"/>
                <w:highlight w:val="none"/>
                <w:lang w:val="en-US" w:eastAsia="zh-CN"/>
              </w:rPr>
              <w:t>8</w:t>
            </w:r>
          </w:p>
        </w:tc>
        <w:tc>
          <w:tcPr>
            <w:tcW w:w="3507" w:type="dxa"/>
            <w:shd w:val="clear" w:color="auto" w:fill="auto"/>
            <w:vAlign w:val="center"/>
          </w:tcPr>
          <w:p w14:paraId="53518DC7">
            <w:pPr>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 w:val="21"/>
                <w:szCs w:val="21"/>
                <w:highlight w:val="none"/>
                <w:lang w:val="en-US" w:eastAsia="zh-CN"/>
              </w:rPr>
              <w:t>《修订&lt;募集资金使用管理制度</w:t>
            </w:r>
            <w:r>
              <w:rPr>
                <w:rFonts w:hint="eastAsia" w:ascii="Times New Roman" w:hAnsi="Times New Roman" w:eastAsia="宋体" w:cs="Times New Roman"/>
                <w:b w:val="0"/>
                <w:bCs w:val="0"/>
                <w:color w:val="000000"/>
                <w:lang w:val="en-US" w:eastAsia="zh-CN"/>
              </w:rPr>
              <w:t>&gt;</w:t>
            </w:r>
            <w:r>
              <w:rPr>
                <w:rFonts w:hint="eastAsia" w:cs="Times New Roman"/>
                <w:b w:val="0"/>
                <w:bCs w:val="0"/>
                <w:color w:val="000000"/>
                <w:lang w:val="en-US" w:eastAsia="zh-CN"/>
              </w:rPr>
              <w:t>的议案</w:t>
            </w:r>
            <w:r>
              <w:rPr>
                <w:rFonts w:hint="eastAsia" w:ascii="Times New Roman" w:hAnsi="Times New Roman" w:cs="Times New Roman"/>
                <w:sz w:val="21"/>
                <w:szCs w:val="21"/>
                <w:highlight w:val="none"/>
                <w:lang w:val="en-US" w:eastAsia="zh-CN"/>
              </w:rPr>
              <w:t>》</w:t>
            </w:r>
          </w:p>
        </w:tc>
        <w:tc>
          <w:tcPr>
            <w:tcW w:w="1129" w:type="dxa"/>
            <w:vAlign w:val="center"/>
          </w:tcPr>
          <w:p w14:paraId="76805303">
            <w:pPr>
              <w:jc w:val="center"/>
              <w:rPr>
                <w:rFonts w:hint="eastAsia"/>
                <w:sz w:val="21"/>
                <w:szCs w:val="21"/>
                <w:highlight w:val="none"/>
              </w:rPr>
            </w:pPr>
            <w:r>
              <w:rPr>
                <w:rFonts w:hint="eastAsia"/>
                <w:sz w:val="21"/>
                <w:szCs w:val="21"/>
                <w:highlight w:val="none"/>
              </w:rPr>
              <w:t>√</w:t>
            </w:r>
          </w:p>
        </w:tc>
        <w:tc>
          <w:tcPr>
            <w:tcW w:w="0" w:type="auto"/>
            <w:vAlign w:val="center"/>
          </w:tcPr>
          <w:p w14:paraId="64C7B420">
            <w:pPr>
              <w:jc w:val="center"/>
              <w:rPr>
                <w:rFonts w:ascii="仿宋" w:hAnsi="仿宋" w:eastAsia="仿宋"/>
                <w:sz w:val="21"/>
                <w:szCs w:val="21"/>
                <w:highlight w:val="none"/>
              </w:rPr>
            </w:pPr>
          </w:p>
        </w:tc>
        <w:tc>
          <w:tcPr>
            <w:tcW w:w="0" w:type="auto"/>
            <w:vAlign w:val="center"/>
          </w:tcPr>
          <w:p w14:paraId="5DE4882D">
            <w:pPr>
              <w:jc w:val="center"/>
              <w:rPr>
                <w:rFonts w:ascii="仿宋" w:hAnsi="仿宋" w:eastAsia="仿宋"/>
                <w:sz w:val="21"/>
                <w:szCs w:val="21"/>
                <w:highlight w:val="none"/>
              </w:rPr>
            </w:pPr>
          </w:p>
        </w:tc>
        <w:tc>
          <w:tcPr>
            <w:tcW w:w="0" w:type="auto"/>
            <w:vAlign w:val="center"/>
          </w:tcPr>
          <w:p w14:paraId="4A4C3965">
            <w:pPr>
              <w:jc w:val="center"/>
              <w:rPr>
                <w:rFonts w:ascii="仿宋" w:hAnsi="仿宋" w:eastAsia="仿宋"/>
                <w:sz w:val="21"/>
                <w:szCs w:val="21"/>
                <w:highlight w:val="none"/>
              </w:rPr>
            </w:pPr>
          </w:p>
        </w:tc>
      </w:tr>
      <w:tr w14:paraId="70943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77" w:type="dxa"/>
            <w:shd w:val="clear" w:color="auto" w:fill="auto"/>
            <w:vAlign w:val="center"/>
          </w:tcPr>
          <w:p w14:paraId="1FCD6DE5">
            <w:pPr>
              <w:jc w:val="center"/>
              <w:rPr>
                <w:rFonts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3</w:t>
            </w:r>
            <w:r>
              <w:rPr>
                <w:sz w:val="21"/>
                <w:szCs w:val="21"/>
                <w:highlight w:val="none"/>
              </w:rPr>
              <w:t>.00</w:t>
            </w:r>
          </w:p>
        </w:tc>
        <w:tc>
          <w:tcPr>
            <w:tcW w:w="3507" w:type="dxa"/>
            <w:shd w:val="clear" w:color="auto" w:fill="auto"/>
            <w:vAlign w:val="center"/>
          </w:tcPr>
          <w:p w14:paraId="385E86FC">
            <w:pPr>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 w:val="21"/>
                <w:szCs w:val="21"/>
                <w:highlight w:val="none"/>
                <w:lang w:val="en-US" w:eastAsia="zh-CN"/>
              </w:rPr>
              <w:t>《</w:t>
            </w:r>
            <w:r>
              <w:rPr>
                <w:rFonts w:hint="eastAsia" w:cs="Times New Roman"/>
                <w:sz w:val="21"/>
                <w:szCs w:val="21"/>
                <w:highlight w:val="none"/>
                <w:lang w:val="en-US" w:eastAsia="zh-CN"/>
              </w:rPr>
              <w:t>关于</w:t>
            </w:r>
            <w:r>
              <w:rPr>
                <w:rFonts w:hint="eastAsia" w:ascii="Times New Roman" w:hAnsi="Times New Roman" w:cs="Times New Roman"/>
                <w:sz w:val="21"/>
                <w:szCs w:val="21"/>
                <w:highlight w:val="none"/>
                <w:lang w:val="en-US" w:eastAsia="zh-CN"/>
              </w:rPr>
              <w:t>公司董事薪酬与考核方案</w:t>
            </w:r>
            <w:r>
              <w:rPr>
                <w:rFonts w:hint="eastAsia" w:cs="Times New Roman"/>
                <w:sz w:val="21"/>
                <w:szCs w:val="21"/>
                <w:highlight w:val="none"/>
                <w:lang w:val="en-US" w:eastAsia="zh-CN"/>
              </w:rPr>
              <w:t>的议案</w:t>
            </w:r>
            <w:r>
              <w:rPr>
                <w:rFonts w:hint="eastAsia" w:ascii="Times New Roman" w:hAnsi="Times New Roman" w:cs="Times New Roman"/>
                <w:sz w:val="21"/>
                <w:szCs w:val="21"/>
                <w:highlight w:val="none"/>
                <w:lang w:val="en-US" w:eastAsia="zh-CN"/>
              </w:rPr>
              <w:t>》</w:t>
            </w:r>
          </w:p>
        </w:tc>
        <w:tc>
          <w:tcPr>
            <w:tcW w:w="1129" w:type="dxa"/>
            <w:vAlign w:val="center"/>
          </w:tcPr>
          <w:p w14:paraId="78A010C9">
            <w:pPr>
              <w:jc w:val="center"/>
              <w:rPr>
                <w:rFonts w:hint="eastAsia"/>
                <w:sz w:val="21"/>
                <w:szCs w:val="21"/>
                <w:highlight w:val="none"/>
              </w:rPr>
            </w:pPr>
            <w:r>
              <w:rPr>
                <w:rFonts w:hint="eastAsia"/>
                <w:sz w:val="21"/>
                <w:szCs w:val="21"/>
                <w:highlight w:val="none"/>
              </w:rPr>
              <w:t>√</w:t>
            </w:r>
          </w:p>
        </w:tc>
        <w:tc>
          <w:tcPr>
            <w:tcW w:w="0" w:type="auto"/>
            <w:vAlign w:val="center"/>
          </w:tcPr>
          <w:p w14:paraId="1345C340">
            <w:pPr>
              <w:jc w:val="center"/>
              <w:rPr>
                <w:rFonts w:ascii="仿宋" w:hAnsi="仿宋" w:eastAsia="仿宋"/>
                <w:sz w:val="21"/>
                <w:szCs w:val="21"/>
                <w:highlight w:val="none"/>
              </w:rPr>
            </w:pPr>
          </w:p>
        </w:tc>
        <w:tc>
          <w:tcPr>
            <w:tcW w:w="0" w:type="auto"/>
            <w:vAlign w:val="center"/>
          </w:tcPr>
          <w:p w14:paraId="2C8F11D9">
            <w:pPr>
              <w:jc w:val="center"/>
              <w:rPr>
                <w:rFonts w:ascii="仿宋" w:hAnsi="仿宋" w:eastAsia="仿宋"/>
                <w:sz w:val="21"/>
                <w:szCs w:val="21"/>
                <w:highlight w:val="none"/>
              </w:rPr>
            </w:pPr>
          </w:p>
        </w:tc>
        <w:tc>
          <w:tcPr>
            <w:tcW w:w="0" w:type="auto"/>
            <w:vAlign w:val="center"/>
          </w:tcPr>
          <w:p w14:paraId="4B5C0BFD">
            <w:pPr>
              <w:jc w:val="center"/>
              <w:rPr>
                <w:rFonts w:ascii="仿宋" w:hAnsi="仿宋" w:eastAsia="仿宋"/>
                <w:sz w:val="21"/>
                <w:szCs w:val="21"/>
                <w:highlight w:val="none"/>
              </w:rPr>
            </w:pPr>
          </w:p>
        </w:tc>
      </w:tr>
    </w:tbl>
    <w:p w14:paraId="1B8A66CF">
      <w:pPr>
        <w:autoSpaceDE w:val="0"/>
        <w:autoSpaceDN w:val="0"/>
        <w:adjustRightInd w:val="0"/>
        <w:snapToGrid w:val="0"/>
        <w:spacing w:before="312" w:beforeLines="100" w:line="480" w:lineRule="auto"/>
        <w:ind w:firstLine="420" w:firstLineChars="200"/>
        <w:rPr>
          <w:rFonts w:ascii="宋体" w:hAnsi="宋体" w:cs="仿宋_GB2312"/>
          <w:kern w:val="0"/>
          <w:szCs w:val="21"/>
          <w:highlight w:val="none"/>
          <w:u w:val="single"/>
        </w:rPr>
      </w:pPr>
      <w:r>
        <w:rPr>
          <w:rFonts w:hint="eastAsia" w:ascii="宋体" w:hAnsi="宋体" w:cs="仿宋_GB2312"/>
          <w:kern w:val="0"/>
          <w:szCs w:val="21"/>
          <w:highlight w:val="none"/>
        </w:rPr>
        <w:t>委托人签名(或盖章)：</w:t>
      </w:r>
      <w:r>
        <w:rPr>
          <w:rFonts w:hint="eastAsia" w:ascii="宋体" w:hAnsi="宋体" w:cs="仿宋_GB2312"/>
          <w:kern w:val="0"/>
          <w:szCs w:val="21"/>
          <w:highlight w:val="none"/>
          <w:u w:val="single"/>
        </w:rPr>
        <w:t xml:space="preserve">                                                         </w:t>
      </w:r>
    </w:p>
    <w:p w14:paraId="0BD0D1E4">
      <w:pPr>
        <w:autoSpaceDE w:val="0"/>
        <w:autoSpaceDN w:val="0"/>
        <w:adjustRightInd w:val="0"/>
        <w:snapToGrid w:val="0"/>
        <w:spacing w:line="480" w:lineRule="auto"/>
        <w:ind w:firstLine="420" w:firstLineChars="200"/>
        <w:rPr>
          <w:rFonts w:ascii="宋体" w:hAnsi="宋体" w:cs="仿宋_GB2312"/>
          <w:kern w:val="0"/>
          <w:szCs w:val="21"/>
          <w:highlight w:val="none"/>
          <w:u w:val="single"/>
        </w:rPr>
      </w:pPr>
      <w:r>
        <w:rPr>
          <w:rFonts w:hint="eastAsia" w:ascii="宋体" w:hAnsi="宋体" w:cs="仿宋_GB2312"/>
          <w:kern w:val="0"/>
          <w:szCs w:val="21"/>
          <w:highlight w:val="none"/>
        </w:rPr>
        <w:t>委托人身份证件号码（或法人股东营业执照号码）：</w:t>
      </w:r>
      <w:r>
        <w:rPr>
          <w:rFonts w:hint="eastAsia" w:ascii="宋体" w:hAnsi="宋体" w:cs="仿宋_GB2312"/>
          <w:kern w:val="0"/>
          <w:szCs w:val="21"/>
          <w:highlight w:val="none"/>
          <w:u w:val="single"/>
        </w:rPr>
        <w:t xml:space="preserve">                               </w:t>
      </w:r>
    </w:p>
    <w:p w14:paraId="3A0FC6AD">
      <w:pPr>
        <w:autoSpaceDE w:val="0"/>
        <w:autoSpaceDN w:val="0"/>
        <w:adjustRightInd w:val="0"/>
        <w:snapToGrid w:val="0"/>
        <w:spacing w:line="480" w:lineRule="auto"/>
        <w:ind w:firstLine="420" w:firstLineChars="200"/>
        <w:rPr>
          <w:rFonts w:ascii="宋体" w:hAnsi="宋体" w:cs="仿宋_GB2312"/>
          <w:kern w:val="0"/>
          <w:szCs w:val="21"/>
          <w:highlight w:val="none"/>
          <w:u w:val="single"/>
        </w:rPr>
      </w:pPr>
      <w:r>
        <w:rPr>
          <w:rFonts w:hint="eastAsia" w:ascii="宋体" w:hAnsi="宋体" w:cs="仿宋_GB2312"/>
          <w:kern w:val="0"/>
          <w:szCs w:val="21"/>
          <w:highlight w:val="none"/>
        </w:rPr>
        <w:t>委托人股东账号：</w:t>
      </w:r>
      <w:r>
        <w:rPr>
          <w:rFonts w:hint="eastAsia" w:ascii="宋体" w:hAnsi="宋体" w:cs="仿宋_GB2312"/>
          <w:kern w:val="0"/>
          <w:szCs w:val="21"/>
          <w:highlight w:val="none"/>
          <w:u w:val="single"/>
        </w:rPr>
        <w:t xml:space="preserve">                        </w:t>
      </w:r>
      <w:r>
        <w:rPr>
          <w:rFonts w:hint="eastAsia" w:ascii="宋体" w:hAnsi="宋体" w:cs="仿宋_GB2312"/>
          <w:kern w:val="0"/>
          <w:szCs w:val="21"/>
          <w:highlight w:val="none"/>
        </w:rPr>
        <w:t xml:space="preserve">   委托人持有股数：</w:t>
      </w:r>
      <w:r>
        <w:rPr>
          <w:rFonts w:hint="eastAsia" w:ascii="宋体" w:hAnsi="宋体" w:cs="仿宋_GB2312"/>
          <w:kern w:val="0"/>
          <w:szCs w:val="21"/>
          <w:highlight w:val="none"/>
          <w:u w:val="single"/>
        </w:rPr>
        <w:t xml:space="preserve">                   </w:t>
      </w:r>
    </w:p>
    <w:p w14:paraId="456021FB">
      <w:pPr>
        <w:autoSpaceDE w:val="0"/>
        <w:autoSpaceDN w:val="0"/>
        <w:adjustRightInd w:val="0"/>
        <w:snapToGrid w:val="0"/>
        <w:spacing w:line="480" w:lineRule="auto"/>
        <w:ind w:firstLine="420" w:firstLineChars="200"/>
        <w:rPr>
          <w:rFonts w:ascii="宋体" w:hAnsi="宋体" w:cs="仿宋_GB2312"/>
          <w:kern w:val="0"/>
          <w:szCs w:val="21"/>
          <w:highlight w:val="none"/>
        </w:rPr>
      </w:pPr>
      <w:r>
        <w:rPr>
          <w:rFonts w:hint="eastAsia" w:ascii="宋体" w:hAnsi="宋体" w:cs="仿宋_GB2312"/>
          <w:kern w:val="0"/>
          <w:szCs w:val="21"/>
          <w:highlight w:val="none"/>
        </w:rPr>
        <w:t>被委托人(签名)：</w:t>
      </w:r>
      <w:r>
        <w:rPr>
          <w:rFonts w:hint="eastAsia" w:ascii="宋体" w:hAnsi="宋体" w:cs="仿宋_GB2312"/>
          <w:kern w:val="0"/>
          <w:szCs w:val="21"/>
          <w:highlight w:val="none"/>
          <w:u w:val="single"/>
        </w:rPr>
        <w:t xml:space="preserve">                                                              </w:t>
      </w:r>
    </w:p>
    <w:p w14:paraId="14DBFC47">
      <w:pPr>
        <w:autoSpaceDE w:val="0"/>
        <w:autoSpaceDN w:val="0"/>
        <w:adjustRightInd w:val="0"/>
        <w:snapToGrid w:val="0"/>
        <w:spacing w:line="480" w:lineRule="auto"/>
        <w:ind w:firstLine="420" w:firstLineChars="200"/>
        <w:rPr>
          <w:rFonts w:ascii="宋体" w:hAnsi="宋体" w:cs="仿宋_GB2312"/>
          <w:kern w:val="0"/>
          <w:szCs w:val="21"/>
          <w:highlight w:val="none"/>
        </w:rPr>
      </w:pPr>
      <w:r>
        <w:rPr>
          <w:rFonts w:hint="eastAsia" w:ascii="宋体" w:hAnsi="宋体" w:cs="仿宋_GB2312"/>
          <w:kern w:val="0"/>
          <w:szCs w:val="21"/>
          <w:highlight w:val="none"/>
        </w:rPr>
        <w:t>被委托人身份证件号码：</w:t>
      </w:r>
      <w:r>
        <w:rPr>
          <w:rFonts w:hint="eastAsia" w:ascii="宋体" w:hAnsi="宋体" w:cs="仿宋_GB2312"/>
          <w:kern w:val="0"/>
          <w:szCs w:val="21"/>
          <w:highlight w:val="none"/>
          <w:u w:val="single"/>
        </w:rPr>
        <w:t xml:space="preserve">                                                        </w:t>
      </w:r>
    </w:p>
    <w:p w14:paraId="1C312566">
      <w:pPr>
        <w:autoSpaceDE w:val="0"/>
        <w:autoSpaceDN w:val="0"/>
        <w:adjustRightInd w:val="0"/>
        <w:snapToGrid w:val="0"/>
        <w:spacing w:line="480" w:lineRule="auto"/>
        <w:ind w:firstLine="420" w:firstLineChars="200"/>
        <w:rPr>
          <w:rFonts w:ascii="宋体" w:hAnsi="宋体" w:cs="仿宋_GB2312"/>
          <w:kern w:val="0"/>
          <w:szCs w:val="21"/>
          <w:highlight w:val="none"/>
        </w:rPr>
      </w:pPr>
      <w:r>
        <w:rPr>
          <w:rFonts w:hint="eastAsia" w:ascii="宋体" w:hAnsi="宋体" w:cs="仿宋_GB2312"/>
          <w:kern w:val="0"/>
          <w:szCs w:val="21"/>
          <w:highlight w:val="none"/>
        </w:rPr>
        <w:t>委托日期：</w:t>
      </w:r>
      <w:r>
        <w:rPr>
          <w:rFonts w:hint="eastAsia"/>
          <w:kern w:val="0"/>
          <w:szCs w:val="21"/>
          <w:highlight w:val="none"/>
        </w:rPr>
        <w:t xml:space="preserve">     </w:t>
      </w:r>
      <w:r>
        <w:rPr>
          <w:kern w:val="0"/>
          <w:szCs w:val="21"/>
          <w:highlight w:val="none"/>
        </w:rPr>
        <w:t>年    月    日</w:t>
      </w:r>
    </w:p>
    <w:p w14:paraId="0C641C8B">
      <w:pPr>
        <w:autoSpaceDE w:val="0"/>
        <w:autoSpaceDN w:val="0"/>
        <w:adjustRightInd w:val="0"/>
        <w:snapToGrid w:val="0"/>
        <w:spacing w:line="480" w:lineRule="auto"/>
        <w:ind w:firstLine="420" w:firstLineChars="200"/>
        <w:rPr>
          <w:rFonts w:ascii="宋体" w:hAnsi="宋体" w:cs="仿宋_GB2312"/>
          <w:kern w:val="0"/>
          <w:szCs w:val="21"/>
          <w:highlight w:val="none"/>
        </w:rPr>
      </w:pPr>
      <w:r>
        <w:rPr>
          <w:rFonts w:hint="eastAsia" w:ascii="宋体" w:hAnsi="宋体" w:cs="仿宋_GB2312"/>
          <w:kern w:val="0"/>
          <w:szCs w:val="21"/>
          <w:highlight w:val="none"/>
        </w:rPr>
        <w:t>委托期限：自签署日起至本次股东大会结束。</w:t>
      </w:r>
    </w:p>
    <w:p w14:paraId="4067D2E2">
      <w:pPr>
        <w:autoSpaceDE w:val="0"/>
        <w:autoSpaceDN w:val="0"/>
        <w:adjustRightInd w:val="0"/>
        <w:snapToGrid w:val="0"/>
        <w:spacing w:line="300" w:lineRule="auto"/>
        <w:ind w:firstLine="450" w:firstLineChars="250"/>
        <w:rPr>
          <w:rFonts w:ascii="宋体" w:hAnsi="宋体" w:cs="仿宋_GB2312"/>
          <w:kern w:val="0"/>
          <w:sz w:val="18"/>
          <w:szCs w:val="18"/>
          <w:highlight w:val="none"/>
        </w:rPr>
      </w:pPr>
      <w:r>
        <w:rPr>
          <w:rFonts w:hint="eastAsia" w:ascii="宋体" w:hAnsi="宋体" w:cs="仿宋_GB2312"/>
          <w:kern w:val="0"/>
          <w:sz w:val="18"/>
          <w:szCs w:val="18"/>
          <w:highlight w:val="none"/>
        </w:rPr>
        <w:t>注：①授权委托书剪报、复印或按以上格式自制均有效，单位委托必须加盖公章。</w:t>
      </w:r>
    </w:p>
    <w:p w14:paraId="40EFE8A5">
      <w:pPr>
        <w:autoSpaceDE w:val="0"/>
        <w:autoSpaceDN w:val="0"/>
        <w:adjustRightInd w:val="0"/>
        <w:snapToGrid w:val="0"/>
        <w:spacing w:line="300" w:lineRule="auto"/>
        <w:ind w:firstLine="810" w:firstLineChars="450"/>
        <w:rPr>
          <w:rFonts w:ascii="宋体" w:hAnsi="宋体" w:cs="仿宋_GB2312"/>
          <w:kern w:val="0"/>
          <w:sz w:val="18"/>
          <w:szCs w:val="18"/>
          <w:highlight w:val="none"/>
        </w:rPr>
      </w:pPr>
      <w:r>
        <w:rPr>
          <w:rFonts w:hint="eastAsia" w:ascii="宋体" w:hAnsi="宋体" w:cs="仿宋_GB2312"/>
          <w:kern w:val="0"/>
          <w:sz w:val="18"/>
          <w:szCs w:val="18"/>
          <w:highlight w:val="none"/>
        </w:rPr>
        <w:t>②授权委托书应包括委托人名称、持股数、被委托人姓名、身份证号码、对所审事项的投票指示、委托权限、委托书签发日期等内容，并由委托人签名（或盖章）。委托人为法人股东的，应加盖法人单位印章。</w:t>
      </w:r>
    </w:p>
    <w:p w14:paraId="6029E7BC">
      <w:pPr>
        <w:autoSpaceDE w:val="0"/>
        <w:autoSpaceDN w:val="0"/>
        <w:adjustRightInd w:val="0"/>
        <w:snapToGrid w:val="0"/>
        <w:spacing w:line="300" w:lineRule="auto"/>
        <w:rPr>
          <w:rFonts w:ascii="宋体" w:hAnsi="宋体" w:cs="仿宋_GB2312"/>
          <w:kern w:val="0"/>
          <w:sz w:val="24"/>
          <w:szCs w:val="24"/>
          <w:highlight w:val="none"/>
        </w:rPr>
      </w:pPr>
      <w:r>
        <w:rPr>
          <w:rFonts w:ascii="宋体" w:hAnsi="宋体" w:cs="仿宋_GB2312"/>
          <w:kern w:val="0"/>
          <w:szCs w:val="21"/>
          <w:highlight w:val="none"/>
        </w:rPr>
        <w:br w:type="page"/>
      </w:r>
      <w:r>
        <w:rPr>
          <w:rFonts w:hint="eastAsia" w:ascii="宋体" w:hAnsi="宋体" w:cs="仿宋_GB2312"/>
          <w:kern w:val="0"/>
          <w:sz w:val="24"/>
          <w:szCs w:val="24"/>
          <w:highlight w:val="none"/>
        </w:rPr>
        <w:t>附件三：</w:t>
      </w:r>
    </w:p>
    <w:p w14:paraId="5E3F5632">
      <w:pPr>
        <w:autoSpaceDE w:val="0"/>
        <w:autoSpaceDN w:val="0"/>
        <w:adjustRightInd w:val="0"/>
        <w:snapToGrid w:val="0"/>
        <w:spacing w:line="300" w:lineRule="auto"/>
        <w:ind w:firstLine="1124" w:firstLineChars="400"/>
        <w:jc w:val="center"/>
        <w:rPr>
          <w:rFonts w:ascii="宋体" w:hAnsi="宋体" w:cs="仿宋_GB2312"/>
          <w:b/>
          <w:kern w:val="0"/>
          <w:sz w:val="28"/>
          <w:szCs w:val="28"/>
          <w:highlight w:val="none"/>
        </w:rPr>
      </w:pPr>
    </w:p>
    <w:p w14:paraId="66FDD0C1">
      <w:pPr>
        <w:autoSpaceDE w:val="0"/>
        <w:autoSpaceDN w:val="0"/>
        <w:adjustRightInd w:val="0"/>
        <w:snapToGrid w:val="0"/>
        <w:spacing w:line="300" w:lineRule="auto"/>
        <w:jc w:val="center"/>
        <w:rPr>
          <w:rFonts w:ascii="宋体" w:hAnsi="宋体" w:cs="仿宋_GB2312"/>
          <w:b/>
          <w:kern w:val="0"/>
          <w:sz w:val="28"/>
          <w:szCs w:val="28"/>
          <w:highlight w:val="none"/>
        </w:rPr>
      </w:pPr>
      <w:r>
        <w:rPr>
          <w:rFonts w:hint="eastAsia" w:ascii="宋体" w:hAnsi="宋体" w:cs="仿宋_GB2312"/>
          <w:b/>
          <w:kern w:val="0"/>
          <w:sz w:val="28"/>
          <w:szCs w:val="28"/>
          <w:highlight w:val="none"/>
        </w:rPr>
        <w:t>冠昊生物科技股份有限公司</w:t>
      </w:r>
    </w:p>
    <w:p w14:paraId="78A97945">
      <w:pPr>
        <w:autoSpaceDE w:val="0"/>
        <w:autoSpaceDN w:val="0"/>
        <w:adjustRightInd w:val="0"/>
        <w:snapToGrid w:val="0"/>
        <w:spacing w:line="300" w:lineRule="auto"/>
        <w:jc w:val="center"/>
        <w:rPr>
          <w:rFonts w:ascii="宋体" w:hAnsi="宋体" w:cs="仿宋_GB2312"/>
          <w:b/>
          <w:kern w:val="0"/>
          <w:sz w:val="28"/>
          <w:szCs w:val="28"/>
          <w:highlight w:val="none"/>
        </w:rPr>
      </w:pPr>
      <w:r>
        <w:rPr>
          <w:rFonts w:hint="eastAsia"/>
          <w:b/>
          <w:kern w:val="0"/>
          <w:sz w:val="28"/>
          <w:szCs w:val="28"/>
          <w:highlight w:val="none"/>
          <w:lang w:eastAsia="zh-CN"/>
        </w:rPr>
        <w:t>2025年第二次临时股东大会</w:t>
      </w:r>
      <w:r>
        <w:rPr>
          <w:rFonts w:hint="eastAsia" w:ascii="宋体" w:hAnsi="宋体" w:cs="仿宋_GB2312"/>
          <w:b/>
          <w:kern w:val="0"/>
          <w:sz w:val="28"/>
          <w:szCs w:val="28"/>
          <w:highlight w:val="none"/>
        </w:rPr>
        <w:t>参会股东登记表</w:t>
      </w:r>
    </w:p>
    <w:p w14:paraId="4AFB78B7">
      <w:pPr>
        <w:autoSpaceDE w:val="0"/>
        <w:autoSpaceDN w:val="0"/>
        <w:adjustRightInd w:val="0"/>
        <w:snapToGrid w:val="0"/>
        <w:spacing w:line="300" w:lineRule="auto"/>
        <w:ind w:firstLine="1124" w:firstLineChars="400"/>
        <w:jc w:val="center"/>
        <w:rPr>
          <w:rFonts w:ascii="宋体" w:hAnsi="宋体" w:cs="仿宋_GB2312"/>
          <w:b/>
          <w:kern w:val="0"/>
          <w:sz w:val="28"/>
          <w:szCs w:val="28"/>
          <w:highlight w:val="none"/>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5"/>
        <w:gridCol w:w="4067"/>
      </w:tblGrid>
      <w:tr w14:paraId="630C1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22" w:type="dxa"/>
            <w:gridSpan w:val="2"/>
            <w:vAlign w:val="center"/>
          </w:tcPr>
          <w:p w14:paraId="5A9001B3">
            <w:pPr>
              <w:autoSpaceDE w:val="0"/>
              <w:autoSpaceDN w:val="0"/>
              <w:adjustRightInd w:val="0"/>
              <w:snapToGrid w:val="0"/>
              <w:spacing w:line="300" w:lineRule="auto"/>
              <w:rPr>
                <w:rFonts w:ascii="宋体" w:hAnsi="宋体" w:cs="仿宋_GB2312"/>
                <w:b/>
                <w:kern w:val="0"/>
                <w:sz w:val="28"/>
                <w:szCs w:val="28"/>
                <w:highlight w:val="none"/>
              </w:rPr>
            </w:pPr>
            <w:r>
              <w:rPr>
                <w:highlight w:val="none"/>
              </w:rPr>
              <w:t>姓名/单位名称：</w:t>
            </w:r>
          </w:p>
        </w:tc>
      </w:tr>
      <w:tr w14:paraId="0108A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22" w:type="dxa"/>
            <w:gridSpan w:val="2"/>
            <w:vAlign w:val="center"/>
          </w:tcPr>
          <w:p w14:paraId="777CE4D8">
            <w:pPr>
              <w:autoSpaceDE w:val="0"/>
              <w:autoSpaceDN w:val="0"/>
              <w:adjustRightInd w:val="0"/>
              <w:snapToGrid w:val="0"/>
              <w:spacing w:line="300" w:lineRule="auto"/>
              <w:rPr>
                <w:rFonts w:ascii="宋体" w:hAnsi="宋体" w:cs="仿宋_GB2312"/>
                <w:b/>
                <w:kern w:val="0"/>
                <w:sz w:val="28"/>
                <w:szCs w:val="28"/>
                <w:highlight w:val="none"/>
              </w:rPr>
            </w:pPr>
            <w:r>
              <w:rPr>
                <w:highlight w:val="none"/>
              </w:rPr>
              <w:t>身份证号码/营业执照号码：</w:t>
            </w:r>
          </w:p>
        </w:tc>
      </w:tr>
      <w:tr w14:paraId="145CF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22" w:type="dxa"/>
            <w:gridSpan w:val="2"/>
            <w:vAlign w:val="center"/>
          </w:tcPr>
          <w:p w14:paraId="6CC67BEE">
            <w:pPr>
              <w:autoSpaceDE w:val="0"/>
              <w:autoSpaceDN w:val="0"/>
              <w:adjustRightInd w:val="0"/>
              <w:snapToGrid w:val="0"/>
              <w:spacing w:line="300" w:lineRule="auto"/>
              <w:rPr>
                <w:rFonts w:ascii="宋体" w:hAnsi="宋体" w:cs="仿宋_GB2312"/>
                <w:b/>
                <w:kern w:val="0"/>
                <w:sz w:val="28"/>
                <w:szCs w:val="28"/>
                <w:highlight w:val="none"/>
              </w:rPr>
            </w:pPr>
            <w:r>
              <w:rPr>
                <w:highlight w:val="none"/>
              </w:rPr>
              <w:t>委托代理人姓名：</w:t>
            </w:r>
          </w:p>
        </w:tc>
      </w:tr>
      <w:tr w14:paraId="6D1EC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22" w:type="dxa"/>
            <w:gridSpan w:val="2"/>
            <w:vAlign w:val="center"/>
          </w:tcPr>
          <w:p w14:paraId="00CD8815">
            <w:pPr>
              <w:autoSpaceDE w:val="0"/>
              <w:autoSpaceDN w:val="0"/>
              <w:adjustRightInd w:val="0"/>
              <w:snapToGrid w:val="0"/>
              <w:spacing w:line="300" w:lineRule="auto"/>
              <w:rPr>
                <w:rFonts w:ascii="宋体" w:hAnsi="宋体" w:cs="仿宋_GB2312"/>
                <w:b/>
                <w:kern w:val="0"/>
                <w:sz w:val="28"/>
                <w:szCs w:val="28"/>
                <w:highlight w:val="none"/>
              </w:rPr>
            </w:pPr>
            <w:r>
              <w:rPr>
                <w:highlight w:val="none"/>
              </w:rPr>
              <w:t>委托代理人身份证号码：</w:t>
            </w:r>
          </w:p>
        </w:tc>
      </w:tr>
      <w:tr w14:paraId="10AA6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55" w:type="dxa"/>
            <w:vAlign w:val="center"/>
          </w:tcPr>
          <w:p w14:paraId="62AD808F">
            <w:pPr>
              <w:autoSpaceDE w:val="0"/>
              <w:autoSpaceDN w:val="0"/>
              <w:adjustRightInd w:val="0"/>
              <w:snapToGrid w:val="0"/>
              <w:spacing w:line="300" w:lineRule="auto"/>
              <w:rPr>
                <w:rFonts w:ascii="宋体" w:hAnsi="宋体" w:cs="仿宋_GB2312"/>
                <w:b/>
                <w:kern w:val="0"/>
                <w:sz w:val="28"/>
                <w:szCs w:val="28"/>
                <w:highlight w:val="none"/>
              </w:rPr>
            </w:pPr>
            <w:r>
              <w:rPr>
                <w:highlight w:val="none"/>
              </w:rPr>
              <w:t>股东账号：</w:t>
            </w:r>
          </w:p>
        </w:tc>
        <w:tc>
          <w:tcPr>
            <w:tcW w:w="4067" w:type="dxa"/>
            <w:vAlign w:val="center"/>
          </w:tcPr>
          <w:p w14:paraId="29F48BDF">
            <w:pPr>
              <w:autoSpaceDE w:val="0"/>
              <w:autoSpaceDN w:val="0"/>
              <w:adjustRightInd w:val="0"/>
              <w:snapToGrid w:val="0"/>
              <w:spacing w:line="300" w:lineRule="auto"/>
              <w:rPr>
                <w:rFonts w:ascii="宋体" w:hAnsi="宋体" w:cs="仿宋_GB2312"/>
                <w:b/>
                <w:kern w:val="0"/>
                <w:sz w:val="28"/>
                <w:szCs w:val="28"/>
                <w:highlight w:val="none"/>
              </w:rPr>
            </w:pPr>
            <w:r>
              <w:rPr>
                <w:highlight w:val="none"/>
              </w:rPr>
              <w:t>持股数量：</w:t>
            </w:r>
          </w:p>
        </w:tc>
      </w:tr>
      <w:tr w14:paraId="0349C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55" w:type="dxa"/>
            <w:vAlign w:val="center"/>
          </w:tcPr>
          <w:p w14:paraId="3D1969BC">
            <w:pPr>
              <w:autoSpaceDE w:val="0"/>
              <w:autoSpaceDN w:val="0"/>
              <w:adjustRightInd w:val="0"/>
              <w:snapToGrid w:val="0"/>
              <w:spacing w:line="300" w:lineRule="auto"/>
              <w:rPr>
                <w:rFonts w:ascii="宋体" w:hAnsi="宋体" w:cs="仿宋_GB2312"/>
                <w:b/>
                <w:kern w:val="0"/>
                <w:sz w:val="28"/>
                <w:szCs w:val="28"/>
                <w:highlight w:val="none"/>
              </w:rPr>
            </w:pPr>
            <w:r>
              <w:rPr>
                <w:highlight w:val="none"/>
              </w:rPr>
              <w:t>联系电话：</w:t>
            </w:r>
          </w:p>
        </w:tc>
        <w:tc>
          <w:tcPr>
            <w:tcW w:w="4067" w:type="dxa"/>
            <w:vAlign w:val="center"/>
          </w:tcPr>
          <w:p w14:paraId="38517BE3">
            <w:pPr>
              <w:autoSpaceDE w:val="0"/>
              <w:autoSpaceDN w:val="0"/>
              <w:adjustRightInd w:val="0"/>
              <w:snapToGrid w:val="0"/>
              <w:spacing w:line="300" w:lineRule="auto"/>
              <w:rPr>
                <w:rFonts w:ascii="宋体" w:hAnsi="宋体" w:cs="仿宋_GB2312"/>
                <w:b/>
                <w:kern w:val="0"/>
                <w:sz w:val="28"/>
                <w:szCs w:val="28"/>
                <w:highlight w:val="none"/>
              </w:rPr>
            </w:pPr>
            <w:r>
              <w:rPr>
                <w:highlight w:val="none"/>
              </w:rPr>
              <w:t>电子邮箱：</w:t>
            </w:r>
          </w:p>
        </w:tc>
      </w:tr>
      <w:tr w14:paraId="6517A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22" w:type="dxa"/>
            <w:gridSpan w:val="2"/>
            <w:vAlign w:val="center"/>
          </w:tcPr>
          <w:p w14:paraId="02F9B051">
            <w:pPr>
              <w:autoSpaceDE w:val="0"/>
              <w:autoSpaceDN w:val="0"/>
              <w:adjustRightInd w:val="0"/>
              <w:snapToGrid w:val="0"/>
              <w:spacing w:line="300" w:lineRule="auto"/>
              <w:rPr>
                <w:rFonts w:ascii="宋体" w:hAnsi="宋体" w:cs="仿宋_GB2312"/>
                <w:b/>
                <w:kern w:val="0"/>
                <w:sz w:val="28"/>
                <w:szCs w:val="28"/>
                <w:highlight w:val="none"/>
              </w:rPr>
            </w:pPr>
            <w:r>
              <w:rPr>
                <w:highlight w:val="none"/>
              </w:rPr>
              <w:t>联系地址：</w:t>
            </w:r>
          </w:p>
        </w:tc>
      </w:tr>
      <w:tr w14:paraId="206A6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55" w:type="dxa"/>
            <w:vAlign w:val="center"/>
          </w:tcPr>
          <w:p w14:paraId="7E3B9F17">
            <w:pPr>
              <w:autoSpaceDE w:val="0"/>
              <w:autoSpaceDN w:val="0"/>
              <w:adjustRightInd w:val="0"/>
              <w:snapToGrid w:val="0"/>
              <w:spacing w:line="300" w:lineRule="auto"/>
              <w:rPr>
                <w:rFonts w:ascii="宋体" w:hAnsi="宋体" w:cs="仿宋_GB2312"/>
                <w:b/>
                <w:kern w:val="0"/>
                <w:sz w:val="28"/>
                <w:szCs w:val="28"/>
                <w:highlight w:val="none"/>
              </w:rPr>
            </w:pPr>
            <w:r>
              <w:rPr>
                <w:highlight w:val="none"/>
              </w:rPr>
              <w:t>邮政编码：</w:t>
            </w:r>
          </w:p>
        </w:tc>
        <w:tc>
          <w:tcPr>
            <w:tcW w:w="4067" w:type="dxa"/>
            <w:vAlign w:val="center"/>
          </w:tcPr>
          <w:p w14:paraId="26AF73F4">
            <w:pPr>
              <w:autoSpaceDE w:val="0"/>
              <w:autoSpaceDN w:val="0"/>
              <w:adjustRightInd w:val="0"/>
              <w:snapToGrid w:val="0"/>
              <w:spacing w:line="300" w:lineRule="auto"/>
              <w:rPr>
                <w:rFonts w:ascii="宋体" w:hAnsi="宋体" w:cs="仿宋_GB2312"/>
                <w:b/>
                <w:kern w:val="0"/>
                <w:sz w:val="28"/>
                <w:szCs w:val="28"/>
                <w:highlight w:val="none"/>
              </w:rPr>
            </w:pPr>
            <w:r>
              <w:rPr>
                <w:highlight w:val="none"/>
              </w:rPr>
              <w:t>备注：</w:t>
            </w:r>
          </w:p>
        </w:tc>
      </w:tr>
    </w:tbl>
    <w:p w14:paraId="678CD5BC">
      <w:pPr>
        <w:autoSpaceDE w:val="0"/>
        <w:autoSpaceDN w:val="0"/>
        <w:adjustRightInd w:val="0"/>
        <w:snapToGrid w:val="0"/>
        <w:spacing w:line="300" w:lineRule="auto"/>
        <w:ind w:firstLine="1124" w:firstLineChars="400"/>
        <w:jc w:val="center"/>
        <w:rPr>
          <w:rFonts w:ascii="宋体" w:hAnsi="宋体" w:cs="仿宋_GB2312"/>
          <w:b/>
          <w:kern w:val="0"/>
          <w:sz w:val="28"/>
          <w:szCs w:val="28"/>
          <w:highlight w:val="none"/>
        </w:rPr>
      </w:pPr>
    </w:p>
    <w:p w14:paraId="0510440F">
      <w:pPr>
        <w:autoSpaceDE w:val="0"/>
        <w:autoSpaceDN w:val="0"/>
        <w:adjustRightInd w:val="0"/>
        <w:snapToGrid w:val="0"/>
        <w:spacing w:line="300" w:lineRule="auto"/>
        <w:jc w:val="left"/>
        <w:rPr>
          <w:rFonts w:ascii="宋体" w:hAnsi="宋体" w:cs="仿宋_GB2312"/>
          <w:b/>
          <w:kern w:val="0"/>
          <w:sz w:val="28"/>
          <w:szCs w:val="28"/>
          <w:highlight w:val="none"/>
        </w:rPr>
      </w:pPr>
      <w:r>
        <w:rPr>
          <w:highlight w:val="none"/>
        </w:rPr>
        <w:t>附注：如为股东本人参会则不需要填写委托代理人姓名及委托代理人身份证号码。</w:t>
      </w:r>
    </w:p>
    <w:sectPr>
      <w:footerReference r:id="rId3" w:type="even"/>
      <w:pgSz w:w="11906" w:h="16838"/>
      <w:pgMar w:top="1440" w:right="1797" w:bottom="709"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FBF56">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1</w:t>
    </w:r>
    <w:r>
      <w:fldChar w:fldCharType="end"/>
    </w:r>
  </w:p>
  <w:p w14:paraId="322B2ED1">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NiMzQ4MDZlNWYwNzEwODVkMjAzNjIxM2M2NjM5N2IifQ=="/>
  </w:docVars>
  <w:rsids>
    <w:rsidRoot w:val="00172A27"/>
    <w:rsid w:val="000020A6"/>
    <w:rsid w:val="00002716"/>
    <w:rsid w:val="00007FD2"/>
    <w:rsid w:val="00012995"/>
    <w:rsid w:val="00015D10"/>
    <w:rsid w:val="00024E84"/>
    <w:rsid w:val="00040687"/>
    <w:rsid w:val="000420A6"/>
    <w:rsid w:val="00043534"/>
    <w:rsid w:val="00045ACF"/>
    <w:rsid w:val="000502B5"/>
    <w:rsid w:val="00060A28"/>
    <w:rsid w:val="00062E13"/>
    <w:rsid w:val="000737F0"/>
    <w:rsid w:val="00075A55"/>
    <w:rsid w:val="00076E6B"/>
    <w:rsid w:val="000772E3"/>
    <w:rsid w:val="0008114A"/>
    <w:rsid w:val="00084596"/>
    <w:rsid w:val="000944FC"/>
    <w:rsid w:val="000970F5"/>
    <w:rsid w:val="000B1B73"/>
    <w:rsid w:val="000B1F3B"/>
    <w:rsid w:val="000B530F"/>
    <w:rsid w:val="000B5A9F"/>
    <w:rsid w:val="000C3228"/>
    <w:rsid w:val="000C5245"/>
    <w:rsid w:val="000C6A4F"/>
    <w:rsid w:val="000D2D75"/>
    <w:rsid w:val="000E3E22"/>
    <w:rsid w:val="000E76F2"/>
    <w:rsid w:val="000F1764"/>
    <w:rsid w:val="000F2012"/>
    <w:rsid w:val="00101E22"/>
    <w:rsid w:val="00113EA4"/>
    <w:rsid w:val="001140A8"/>
    <w:rsid w:val="00122CEB"/>
    <w:rsid w:val="00122F87"/>
    <w:rsid w:val="00130A28"/>
    <w:rsid w:val="0014127F"/>
    <w:rsid w:val="0014433D"/>
    <w:rsid w:val="00144D42"/>
    <w:rsid w:val="00150093"/>
    <w:rsid w:val="001538A1"/>
    <w:rsid w:val="001546CE"/>
    <w:rsid w:val="001548BB"/>
    <w:rsid w:val="0015522C"/>
    <w:rsid w:val="00155CC1"/>
    <w:rsid w:val="001606D2"/>
    <w:rsid w:val="00170BE9"/>
    <w:rsid w:val="0017246A"/>
    <w:rsid w:val="00172A27"/>
    <w:rsid w:val="00173846"/>
    <w:rsid w:val="001757C4"/>
    <w:rsid w:val="00190514"/>
    <w:rsid w:val="001959EC"/>
    <w:rsid w:val="00197664"/>
    <w:rsid w:val="001B13D1"/>
    <w:rsid w:val="001C3085"/>
    <w:rsid w:val="001C5A53"/>
    <w:rsid w:val="001C6080"/>
    <w:rsid w:val="001D7525"/>
    <w:rsid w:val="001E38CB"/>
    <w:rsid w:val="001E5339"/>
    <w:rsid w:val="001E6D00"/>
    <w:rsid w:val="001F0846"/>
    <w:rsid w:val="001F0A82"/>
    <w:rsid w:val="001F3871"/>
    <w:rsid w:val="001F75FC"/>
    <w:rsid w:val="00203427"/>
    <w:rsid w:val="00203930"/>
    <w:rsid w:val="0021135B"/>
    <w:rsid w:val="00214FE3"/>
    <w:rsid w:val="00215C76"/>
    <w:rsid w:val="0021703F"/>
    <w:rsid w:val="00221949"/>
    <w:rsid w:val="00225029"/>
    <w:rsid w:val="00230B7C"/>
    <w:rsid w:val="00233DF3"/>
    <w:rsid w:val="00234F5E"/>
    <w:rsid w:val="00236F01"/>
    <w:rsid w:val="002472CF"/>
    <w:rsid w:val="00260CFE"/>
    <w:rsid w:val="00261A96"/>
    <w:rsid w:val="002627C3"/>
    <w:rsid w:val="00265675"/>
    <w:rsid w:val="00272C15"/>
    <w:rsid w:val="002808ED"/>
    <w:rsid w:val="002825B6"/>
    <w:rsid w:val="00291F7E"/>
    <w:rsid w:val="002A31AB"/>
    <w:rsid w:val="002A750D"/>
    <w:rsid w:val="002B4D74"/>
    <w:rsid w:val="002B5EED"/>
    <w:rsid w:val="002C19C9"/>
    <w:rsid w:val="002C22D2"/>
    <w:rsid w:val="002C7692"/>
    <w:rsid w:val="002C7DD9"/>
    <w:rsid w:val="002D00AE"/>
    <w:rsid w:val="002D3098"/>
    <w:rsid w:val="002D5C17"/>
    <w:rsid w:val="002D6DFB"/>
    <w:rsid w:val="002E5387"/>
    <w:rsid w:val="002E7ABD"/>
    <w:rsid w:val="002F21A7"/>
    <w:rsid w:val="003047C4"/>
    <w:rsid w:val="00307A1B"/>
    <w:rsid w:val="00323E4E"/>
    <w:rsid w:val="003248F6"/>
    <w:rsid w:val="00336A1B"/>
    <w:rsid w:val="003444C7"/>
    <w:rsid w:val="00352FB1"/>
    <w:rsid w:val="003538B2"/>
    <w:rsid w:val="00356DF9"/>
    <w:rsid w:val="00361406"/>
    <w:rsid w:val="00370805"/>
    <w:rsid w:val="003835DC"/>
    <w:rsid w:val="0038388C"/>
    <w:rsid w:val="003903DB"/>
    <w:rsid w:val="00393C01"/>
    <w:rsid w:val="00396A8C"/>
    <w:rsid w:val="003B018E"/>
    <w:rsid w:val="003B2847"/>
    <w:rsid w:val="003B6058"/>
    <w:rsid w:val="003C0E89"/>
    <w:rsid w:val="003C2901"/>
    <w:rsid w:val="003C7618"/>
    <w:rsid w:val="003D1B38"/>
    <w:rsid w:val="003D5D02"/>
    <w:rsid w:val="003E4FBF"/>
    <w:rsid w:val="003E72A1"/>
    <w:rsid w:val="003E7670"/>
    <w:rsid w:val="003F2A38"/>
    <w:rsid w:val="003F2AFC"/>
    <w:rsid w:val="003F724E"/>
    <w:rsid w:val="00400820"/>
    <w:rsid w:val="00414314"/>
    <w:rsid w:val="00415C8D"/>
    <w:rsid w:val="00427F51"/>
    <w:rsid w:val="00431118"/>
    <w:rsid w:val="004337E9"/>
    <w:rsid w:val="00433BDF"/>
    <w:rsid w:val="0043460A"/>
    <w:rsid w:val="004433E6"/>
    <w:rsid w:val="00445011"/>
    <w:rsid w:val="00452AB7"/>
    <w:rsid w:val="00461C5E"/>
    <w:rsid w:val="00463E96"/>
    <w:rsid w:val="0046679D"/>
    <w:rsid w:val="004708CC"/>
    <w:rsid w:val="00471C99"/>
    <w:rsid w:val="00471E9E"/>
    <w:rsid w:val="00474516"/>
    <w:rsid w:val="0048159A"/>
    <w:rsid w:val="0048435B"/>
    <w:rsid w:val="00485984"/>
    <w:rsid w:val="00487B1C"/>
    <w:rsid w:val="00491E0E"/>
    <w:rsid w:val="0049230F"/>
    <w:rsid w:val="004960E8"/>
    <w:rsid w:val="004A1D61"/>
    <w:rsid w:val="004A2401"/>
    <w:rsid w:val="004A2829"/>
    <w:rsid w:val="004A4492"/>
    <w:rsid w:val="004A4D21"/>
    <w:rsid w:val="004A7677"/>
    <w:rsid w:val="004B09A6"/>
    <w:rsid w:val="004B4B48"/>
    <w:rsid w:val="004B4E14"/>
    <w:rsid w:val="004B6A28"/>
    <w:rsid w:val="004D399B"/>
    <w:rsid w:val="004D6C4B"/>
    <w:rsid w:val="004D7DC2"/>
    <w:rsid w:val="004E5F5F"/>
    <w:rsid w:val="004F5377"/>
    <w:rsid w:val="005004A5"/>
    <w:rsid w:val="00501CB2"/>
    <w:rsid w:val="00505462"/>
    <w:rsid w:val="00510CD9"/>
    <w:rsid w:val="00511481"/>
    <w:rsid w:val="005134BF"/>
    <w:rsid w:val="00515210"/>
    <w:rsid w:val="0051675A"/>
    <w:rsid w:val="005201F4"/>
    <w:rsid w:val="0052239B"/>
    <w:rsid w:val="00524BB8"/>
    <w:rsid w:val="00530FA9"/>
    <w:rsid w:val="00532664"/>
    <w:rsid w:val="00533DF8"/>
    <w:rsid w:val="00536039"/>
    <w:rsid w:val="00545D45"/>
    <w:rsid w:val="00551AD5"/>
    <w:rsid w:val="0055347F"/>
    <w:rsid w:val="005547A0"/>
    <w:rsid w:val="0055494B"/>
    <w:rsid w:val="00562484"/>
    <w:rsid w:val="00564994"/>
    <w:rsid w:val="00564B3C"/>
    <w:rsid w:val="00564C93"/>
    <w:rsid w:val="005654B3"/>
    <w:rsid w:val="005677F3"/>
    <w:rsid w:val="00570E3F"/>
    <w:rsid w:val="0057344A"/>
    <w:rsid w:val="005748FA"/>
    <w:rsid w:val="0057528D"/>
    <w:rsid w:val="00575AFA"/>
    <w:rsid w:val="00584C38"/>
    <w:rsid w:val="00584FA1"/>
    <w:rsid w:val="00586D03"/>
    <w:rsid w:val="00593330"/>
    <w:rsid w:val="00593413"/>
    <w:rsid w:val="00593AA1"/>
    <w:rsid w:val="00595616"/>
    <w:rsid w:val="005979C2"/>
    <w:rsid w:val="005B2F71"/>
    <w:rsid w:val="005B30A4"/>
    <w:rsid w:val="005B5F47"/>
    <w:rsid w:val="005B61EC"/>
    <w:rsid w:val="005D240C"/>
    <w:rsid w:val="005D71A7"/>
    <w:rsid w:val="005F4530"/>
    <w:rsid w:val="00602F77"/>
    <w:rsid w:val="00604C2D"/>
    <w:rsid w:val="006122C5"/>
    <w:rsid w:val="00612444"/>
    <w:rsid w:val="006133CB"/>
    <w:rsid w:val="0061437D"/>
    <w:rsid w:val="00621506"/>
    <w:rsid w:val="00621D92"/>
    <w:rsid w:val="006248C0"/>
    <w:rsid w:val="00637C1E"/>
    <w:rsid w:val="0064546A"/>
    <w:rsid w:val="006459A9"/>
    <w:rsid w:val="0065477C"/>
    <w:rsid w:val="00656AC2"/>
    <w:rsid w:val="00660E4F"/>
    <w:rsid w:val="0066320F"/>
    <w:rsid w:val="0066438E"/>
    <w:rsid w:val="00671852"/>
    <w:rsid w:val="00673877"/>
    <w:rsid w:val="00674702"/>
    <w:rsid w:val="006760C0"/>
    <w:rsid w:val="00676262"/>
    <w:rsid w:val="00683AA6"/>
    <w:rsid w:val="00691817"/>
    <w:rsid w:val="00695C08"/>
    <w:rsid w:val="006A1C8D"/>
    <w:rsid w:val="006A6DF9"/>
    <w:rsid w:val="006A72CB"/>
    <w:rsid w:val="006B44FC"/>
    <w:rsid w:val="006B5CBD"/>
    <w:rsid w:val="006C369D"/>
    <w:rsid w:val="006C52EA"/>
    <w:rsid w:val="006D0646"/>
    <w:rsid w:val="006D7808"/>
    <w:rsid w:val="006E504A"/>
    <w:rsid w:val="006F3CC1"/>
    <w:rsid w:val="006F7FA0"/>
    <w:rsid w:val="00706036"/>
    <w:rsid w:val="0070627C"/>
    <w:rsid w:val="00707B06"/>
    <w:rsid w:val="007151AD"/>
    <w:rsid w:val="0071735A"/>
    <w:rsid w:val="007230D4"/>
    <w:rsid w:val="0072441E"/>
    <w:rsid w:val="007328F6"/>
    <w:rsid w:val="00734E56"/>
    <w:rsid w:val="00736924"/>
    <w:rsid w:val="00740646"/>
    <w:rsid w:val="00745DDD"/>
    <w:rsid w:val="00757645"/>
    <w:rsid w:val="00761F86"/>
    <w:rsid w:val="0076649D"/>
    <w:rsid w:val="00772B98"/>
    <w:rsid w:val="007738CA"/>
    <w:rsid w:val="00776C67"/>
    <w:rsid w:val="00780CD3"/>
    <w:rsid w:val="007812B9"/>
    <w:rsid w:val="0078267D"/>
    <w:rsid w:val="0078293B"/>
    <w:rsid w:val="00790A52"/>
    <w:rsid w:val="00791E98"/>
    <w:rsid w:val="00795E1D"/>
    <w:rsid w:val="007972AF"/>
    <w:rsid w:val="007B29E5"/>
    <w:rsid w:val="007B5302"/>
    <w:rsid w:val="007B666E"/>
    <w:rsid w:val="007C6F93"/>
    <w:rsid w:val="007E39EB"/>
    <w:rsid w:val="007F14D9"/>
    <w:rsid w:val="007F24EC"/>
    <w:rsid w:val="007F4ECE"/>
    <w:rsid w:val="007F6B1A"/>
    <w:rsid w:val="00805C17"/>
    <w:rsid w:val="00806F16"/>
    <w:rsid w:val="00807E20"/>
    <w:rsid w:val="00813A85"/>
    <w:rsid w:val="008229CD"/>
    <w:rsid w:val="008230FB"/>
    <w:rsid w:val="008248C5"/>
    <w:rsid w:val="00826A89"/>
    <w:rsid w:val="00827879"/>
    <w:rsid w:val="0083011B"/>
    <w:rsid w:val="00830E5B"/>
    <w:rsid w:val="0083313A"/>
    <w:rsid w:val="008415BF"/>
    <w:rsid w:val="00854528"/>
    <w:rsid w:val="00871064"/>
    <w:rsid w:val="00880BB5"/>
    <w:rsid w:val="008876ED"/>
    <w:rsid w:val="008923C1"/>
    <w:rsid w:val="008A3529"/>
    <w:rsid w:val="008B5DD2"/>
    <w:rsid w:val="008B7B60"/>
    <w:rsid w:val="008C3D15"/>
    <w:rsid w:val="008C4607"/>
    <w:rsid w:val="008C53CC"/>
    <w:rsid w:val="008D70A8"/>
    <w:rsid w:val="008F0000"/>
    <w:rsid w:val="00900BE6"/>
    <w:rsid w:val="009076C5"/>
    <w:rsid w:val="009104F9"/>
    <w:rsid w:val="00911E4C"/>
    <w:rsid w:val="009208F0"/>
    <w:rsid w:val="009244A0"/>
    <w:rsid w:val="00925F1E"/>
    <w:rsid w:val="009312AE"/>
    <w:rsid w:val="00933974"/>
    <w:rsid w:val="00937564"/>
    <w:rsid w:val="0094005C"/>
    <w:rsid w:val="009523D5"/>
    <w:rsid w:val="00953037"/>
    <w:rsid w:val="00954314"/>
    <w:rsid w:val="00955ED2"/>
    <w:rsid w:val="00962C33"/>
    <w:rsid w:val="00963895"/>
    <w:rsid w:val="00964FA1"/>
    <w:rsid w:val="00970DAF"/>
    <w:rsid w:val="00973B70"/>
    <w:rsid w:val="00985CA6"/>
    <w:rsid w:val="009A7044"/>
    <w:rsid w:val="009B26B8"/>
    <w:rsid w:val="009B4370"/>
    <w:rsid w:val="009C3A47"/>
    <w:rsid w:val="009C5163"/>
    <w:rsid w:val="009D5DCB"/>
    <w:rsid w:val="009D6A2C"/>
    <w:rsid w:val="009E6C6D"/>
    <w:rsid w:val="009F1FA9"/>
    <w:rsid w:val="009F2BE0"/>
    <w:rsid w:val="00A05634"/>
    <w:rsid w:val="00A104EB"/>
    <w:rsid w:val="00A123B5"/>
    <w:rsid w:val="00A279E3"/>
    <w:rsid w:val="00A31852"/>
    <w:rsid w:val="00A3266A"/>
    <w:rsid w:val="00A3580F"/>
    <w:rsid w:val="00A40A14"/>
    <w:rsid w:val="00A43E61"/>
    <w:rsid w:val="00A5178B"/>
    <w:rsid w:val="00A5279B"/>
    <w:rsid w:val="00A5487A"/>
    <w:rsid w:val="00A602F2"/>
    <w:rsid w:val="00A61706"/>
    <w:rsid w:val="00A627C5"/>
    <w:rsid w:val="00A64F51"/>
    <w:rsid w:val="00A66EA9"/>
    <w:rsid w:val="00A74DD4"/>
    <w:rsid w:val="00A85949"/>
    <w:rsid w:val="00A866DF"/>
    <w:rsid w:val="00A87282"/>
    <w:rsid w:val="00A87476"/>
    <w:rsid w:val="00AA091E"/>
    <w:rsid w:val="00AA2370"/>
    <w:rsid w:val="00AA4204"/>
    <w:rsid w:val="00AA4771"/>
    <w:rsid w:val="00AB4987"/>
    <w:rsid w:val="00AB5D93"/>
    <w:rsid w:val="00AB69B7"/>
    <w:rsid w:val="00AC0B9C"/>
    <w:rsid w:val="00AC28CE"/>
    <w:rsid w:val="00AC2E20"/>
    <w:rsid w:val="00AC5529"/>
    <w:rsid w:val="00AD3317"/>
    <w:rsid w:val="00AD3863"/>
    <w:rsid w:val="00AD3D7F"/>
    <w:rsid w:val="00AD5EAE"/>
    <w:rsid w:val="00AE0A0E"/>
    <w:rsid w:val="00AE35CC"/>
    <w:rsid w:val="00AE4E86"/>
    <w:rsid w:val="00AE538B"/>
    <w:rsid w:val="00B01827"/>
    <w:rsid w:val="00B10965"/>
    <w:rsid w:val="00B146EA"/>
    <w:rsid w:val="00B16AF7"/>
    <w:rsid w:val="00B17C3C"/>
    <w:rsid w:val="00B33900"/>
    <w:rsid w:val="00B4149F"/>
    <w:rsid w:val="00B42604"/>
    <w:rsid w:val="00B42F0E"/>
    <w:rsid w:val="00B53544"/>
    <w:rsid w:val="00B62F2C"/>
    <w:rsid w:val="00B6681E"/>
    <w:rsid w:val="00B726F4"/>
    <w:rsid w:val="00B77EB6"/>
    <w:rsid w:val="00B81D0D"/>
    <w:rsid w:val="00B8319C"/>
    <w:rsid w:val="00BA5E73"/>
    <w:rsid w:val="00BB3E53"/>
    <w:rsid w:val="00BC04BE"/>
    <w:rsid w:val="00BC0517"/>
    <w:rsid w:val="00BC2955"/>
    <w:rsid w:val="00BC4D0C"/>
    <w:rsid w:val="00BC7D23"/>
    <w:rsid w:val="00BE328B"/>
    <w:rsid w:val="00BE4AC9"/>
    <w:rsid w:val="00BE56C8"/>
    <w:rsid w:val="00BF4783"/>
    <w:rsid w:val="00BF605F"/>
    <w:rsid w:val="00C02336"/>
    <w:rsid w:val="00C04DD2"/>
    <w:rsid w:val="00C06345"/>
    <w:rsid w:val="00C207FF"/>
    <w:rsid w:val="00C20E03"/>
    <w:rsid w:val="00C245D4"/>
    <w:rsid w:val="00C24755"/>
    <w:rsid w:val="00C3009A"/>
    <w:rsid w:val="00C34D6A"/>
    <w:rsid w:val="00C35138"/>
    <w:rsid w:val="00C356C1"/>
    <w:rsid w:val="00C366D6"/>
    <w:rsid w:val="00C432F6"/>
    <w:rsid w:val="00C45BA3"/>
    <w:rsid w:val="00C51B3D"/>
    <w:rsid w:val="00C53111"/>
    <w:rsid w:val="00C5428D"/>
    <w:rsid w:val="00C54336"/>
    <w:rsid w:val="00C54D2A"/>
    <w:rsid w:val="00C5613B"/>
    <w:rsid w:val="00C56B3C"/>
    <w:rsid w:val="00C60A0B"/>
    <w:rsid w:val="00C74C0E"/>
    <w:rsid w:val="00C80DE5"/>
    <w:rsid w:val="00C828E6"/>
    <w:rsid w:val="00C83FD4"/>
    <w:rsid w:val="00C851F4"/>
    <w:rsid w:val="00C94B23"/>
    <w:rsid w:val="00CA0164"/>
    <w:rsid w:val="00CA4144"/>
    <w:rsid w:val="00CA6D18"/>
    <w:rsid w:val="00CB0436"/>
    <w:rsid w:val="00CB2123"/>
    <w:rsid w:val="00CC2D7E"/>
    <w:rsid w:val="00CC329B"/>
    <w:rsid w:val="00CC6310"/>
    <w:rsid w:val="00CD1382"/>
    <w:rsid w:val="00CD39CB"/>
    <w:rsid w:val="00CD64B5"/>
    <w:rsid w:val="00CD7AEF"/>
    <w:rsid w:val="00CE7BC5"/>
    <w:rsid w:val="00CF2FEA"/>
    <w:rsid w:val="00CF479B"/>
    <w:rsid w:val="00CF59C8"/>
    <w:rsid w:val="00D0279F"/>
    <w:rsid w:val="00D02A86"/>
    <w:rsid w:val="00D07B71"/>
    <w:rsid w:val="00D2373C"/>
    <w:rsid w:val="00D342D8"/>
    <w:rsid w:val="00D34388"/>
    <w:rsid w:val="00D34ADC"/>
    <w:rsid w:val="00D50709"/>
    <w:rsid w:val="00D51939"/>
    <w:rsid w:val="00D66634"/>
    <w:rsid w:val="00D73B6B"/>
    <w:rsid w:val="00D74E60"/>
    <w:rsid w:val="00D75F68"/>
    <w:rsid w:val="00D75FDA"/>
    <w:rsid w:val="00D81841"/>
    <w:rsid w:val="00D81D37"/>
    <w:rsid w:val="00D862D3"/>
    <w:rsid w:val="00D873C7"/>
    <w:rsid w:val="00D96B0B"/>
    <w:rsid w:val="00DA2FB9"/>
    <w:rsid w:val="00DA51C0"/>
    <w:rsid w:val="00DB438A"/>
    <w:rsid w:val="00DB57F6"/>
    <w:rsid w:val="00DB71B9"/>
    <w:rsid w:val="00DC3DE9"/>
    <w:rsid w:val="00DC55E0"/>
    <w:rsid w:val="00DC5754"/>
    <w:rsid w:val="00DC6878"/>
    <w:rsid w:val="00DD0542"/>
    <w:rsid w:val="00DD7D8D"/>
    <w:rsid w:val="00DD7FB1"/>
    <w:rsid w:val="00DE0451"/>
    <w:rsid w:val="00DF1BBA"/>
    <w:rsid w:val="00DF561A"/>
    <w:rsid w:val="00DF60C3"/>
    <w:rsid w:val="00DF6876"/>
    <w:rsid w:val="00DF7FF9"/>
    <w:rsid w:val="00E00B90"/>
    <w:rsid w:val="00E05621"/>
    <w:rsid w:val="00E1009A"/>
    <w:rsid w:val="00E1035B"/>
    <w:rsid w:val="00E24F86"/>
    <w:rsid w:val="00E25CF9"/>
    <w:rsid w:val="00E25F61"/>
    <w:rsid w:val="00E35038"/>
    <w:rsid w:val="00E36554"/>
    <w:rsid w:val="00E41434"/>
    <w:rsid w:val="00E4354B"/>
    <w:rsid w:val="00E43AB2"/>
    <w:rsid w:val="00E43B53"/>
    <w:rsid w:val="00E46158"/>
    <w:rsid w:val="00E46D43"/>
    <w:rsid w:val="00E60F2B"/>
    <w:rsid w:val="00E61AE4"/>
    <w:rsid w:val="00E61BF9"/>
    <w:rsid w:val="00E61DC0"/>
    <w:rsid w:val="00E63C75"/>
    <w:rsid w:val="00E7077B"/>
    <w:rsid w:val="00E710D4"/>
    <w:rsid w:val="00E76D1B"/>
    <w:rsid w:val="00E858D5"/>
    <w:rsid w:val="00EA20FF"/>
    <w:rsid w:val="00EA3EAC"/>
    <w:rsid w:val="00EA547F"/>
    <w:rsid w:val="00EA6E9F"/>
    <w:rsid w:val="00EB74D7"/>
    <w:rsid w:val="00EC4319"/>
    <w:rsid w:val="00EC5876"/>
    <w:rsid w:val="00EC6304"/>
    <w:rsid w:val="00EC71A4"/>
    <w:rsid w:val="00ED4BFD"/>
    <w:rsid w:val="00ED603B"/>
    <w:rsid w:val="00EE4A56"/>
    <w:rsid w:val="00EE4CC9"/>
    <w:rsid w:val="00EE6768"/>
    <w:rsid w:val="00F02AC5"/>
    <w:rsid w:val="00F03C41"/>
    <w:rsid w:val="00F07F8B"/>
    <w:rsid w:val="00F1100C"/>
    <w:rsid w:val="00F11322"/>
    <w:rsid w:val="00F11E08"/>
    <w:rsid w:val="00F15782"/>
    <w:rsid w:val="00F17281"/>
    <w:rsid w:val="00F22AB5"/>
    <w:rsid w:val="00F24301"/>
    <w:rsid w:val="00F31278"/>
    <w:rsid w:val="00F37329"/>
    <w:rsid w:val="00F501E4"/>
    <w:rsid w:val="00F50B8F"/>
    <w:rsid w:val="00F52928"/>
    <w:rsid w:val="00F55753"/>
    <w:rsid w:val="00F67023"/>
    <w:rsid w:val="00F703C2"/>
    <w:rsid w:val="00F71DB8"/>
    <w:rsid w:val="00F7277C"/>
    <w:rsid w:val="00F7333A"/>
    <w:rsid w:val="00F775D4"/>
    <w:rsid w:val="00F83F2D"/>
    <w:rsid w:val="00F855F1"/>
    <w:rsid w:val="00F91E08"/>
    <w:rsid w:val="00F93A51"/>
    <w:rsid w:val="00FA0ECD"/>
    <w:rsid w:val="00FA193A"/>
    <w:rsid w:val="00FA30BB"/>
    <w:rsid w:val="00FA4DF5"/>
    <w:rsid w:val="00FB090C"/>
    <w:rsid w:val="00FB47D4"/>
    <w:rsid w:val="00FB67F3"/>
    <w:rsid w:val="00FC392A"/>
    <w:rsid w:val="00FF0D39"/>
    <w:rsid w:val="00FF5192"/>
    <w:rsid w:val="00FF5F77"/>
    <w:rsid w:val="01253372"/>
    <w:rsid w:val="04131BA8"/>
    <w:rsid w:val="049F1B6D"/>
    <w:rsid w:val="060F639F"/>
    <w:rsid w:val="07CB03AE"/>
    <w:rsid w:val="08494B30"/>
    <w:rsid w:val="08AF5C17"/>
    <w:rsid w:val="0935436E"/>
    <w:rsid w:val="0A5627EE"/>
    <w:rsid w:val="0A636CB9"/>
    <w:rsid w:val="0D4728C2"/>
    <w:rsid w:val="0D892EDB"/>
    <w:rsid w:val="0E9D4E90"/>
    <w:rsid w:val="0F655282"/>
    <w:rsid w:val="0FAB538A"/>
    <w:rsid w:val="0FE95EB3"/>
    <w:rsid w:val="116C3EA1"/>
    <w:rsid w:val="11E22BBA"/>
    <w:rsid w:val="12535865"/>
    <w:rsid w:val="12A85BB1"/>
    <w:rsid w:val="12D06EB6"/>
    <w:rsid w:val="16EB4D5F"/>
    <w:rsid w:val="17797B1C"/>
    <w:rsid w:val="17885FB1"/>
    <w:rsid w:val="196E09F8"/>
    <w:rsid w:val="1AEC6857"/>
    <w:rsid w:val="1AF373BA"/>
    <w:rsid w:val="1D554B87"/>
    <w:rsid w:val="1F2B3694"/>
    <w:rsid w:val="20F546B7"/>
    <w:rsid w:val="213A656E"/>
    <w:rsid w:val="21CB7084"/>
    <w:rsid w:val="232A43C0"/>
    <w:rsid w:val="2435301D"/>
    <w:rsid w:val="261F21D6"/>
    <w:rsid w:val="264D0E5E"/>
    <w:rsid w:val="293715E5"/>
    <w:rsid w:val="2ABC7FF4"/>
    <w:rsid w:val="2ABF1892"/>
    <w:rsid w:val="2AD74E2E"/>
    <w:rsid w:val="2C19297E"/>
    <w:rsid w:val="2C4B162F"/>
    <w:rsid w:val="2C9E5B15"/>
    <w:rsid w:val="2EC658E5"/>
    <w:rsid w:val="2ED470FD"/>
    <w:rsid w:val="2EF36B98"/>
    <w:rsid w:val="30BD4AC6"/>
    <w:rsid w:val="33A8380B"/>
    <w:rsid w:val="36321AB2"/>
    <w:rsid w:val="37DE3C9F"/>
    <w:rsid w:val="39963701"/>
    <w:rsid w:val="3A2354FC"/>
    <w:rsid w:val="3AD46C94"/>
    <w:rsid w:val="3AEF1D20"/>
    <w:rsid w:val="3B3E5A92"/>
    <w:rsid w:val="3B5F44BC"/>
    <w:rsid w:val="3BB6218B"/>
    <w:rsid w:val="3BF327F3"/>
    <w:rsid w:val="3CEC29BB"/>
    <w:rsid w:val="3D3903FC"/>
    <w:rsid w:val="3E19789D"/>
    <w:rsid w:val="3F740A45"/>
    <w:rsid w:val="405C1C05"/>
    <w:rsid w:val="4170671D"/>
    <w:rsid w:val="42254279"/>
    <w:rsid w:val="48084421"/>
    <w:rsid w:val="49AD29D9"/>
    <w:rsid w:val="49B52386"/>
    <w:rsid w:val="4AE922E8"/>
    <w:rsid w:val="4BBA6FB8"/>
    <w:rsid w:val="4CEA55C9"/>
    <w:rsid w:val="4D0B57EB"/>
    <w:rsid w:val="4DBD1A80"/>
    <w:rsid w:val="4DF72F6D"/>
    <w:rsid w:val="4E1B3100"/>
    <w:rsid w:val="4ECC4314"/>
    <w:rsid w:val="4EF94AC3"/>
    <w:rsid w:val="4F041DE6"/>
    <w:rsid w:val="4F2B3333"/>
    <w:rsid w:val="4F952A3E"/>
    <w:rsid w:val="51C938DC"/>
    <w:rsid w:val="522E717A"/>
    <w:rsid w:val="525B6DCA"/>
    <w:rsid w:val="525D4C0A"/>
    <w:rsid w:val="54D9161F"/>
    <w:rsid w:val="563849C2"/>
    <w:rsid w:val="5659139B"/>
    <w:rsid w:val="57777437"/>
    <w:rsid w:val="59DD395F"/>
    <w:rsid w:val="59EE5898"/>
    <w:rsid w:val="5A695AEA"/>
    <w:rsid w:val="5AB126F6"/>
    <w:rsid w:val="5CBF10FA"/>
    <w:rsid w:val="5D900CE9"/>
    <w:rsid w:val="5EE40D67"/>
    <w:rsid w:val="5FAE35F7"/>
    <w:rsid w:val="606049A2"/>
    <w:rsid w:val="60DD2497"/>
    <w:rsid w:val="6367429A"/>
    <w:rsid w:val="649C7F73"/>
    <w:rsid w:val="65827D85"/>
    <w:rsid w:val="662A7F2C"/>
    <w:rsid w:val="665B6C8D"/>
    <w:rsid w:val="6ABA73A5"/>
    <w:rsid w:val="6BAB5484"/>
    <w:rsid w:val="6C2C6080"/>
    <w:rsid w:val="6D617FAC"/>
    <w:rsid w:val="6D8F4B19"/>
    <w:rsid w:val="70057314"/>
    <w:rsid w:val="72374923"/>
    <w:rsid w:val="729624A5"/>
    <w:rsid w:val="73005B71"/>
    <w:rsid w:val="76C44959"/>
    <w:rsid w:val="78633D22"/>
    <w:rsid w:val="78654DF4"/>
    <w:rsid w:val="789E0306"/>
    <w:rsid w:val="7A0D3707"/>
    <w:rsid w:val="7A1A39BC"/>
    <w:rsid w:val="7A3E5D40"/>
    <w:rsid w:val="7CE30FDE"/>
    <w:rsid w:val="7CFB7321"/>
    <w:rsid w:val="7EC34850"/>
    <w:rsid w:val="7F1D0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rPr>
      <w:szCs w:val="24"/>
    </w:r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link w:val="12"/>
    <w:autoRedefine/>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autoRedefine/>
    <w:qFormat/>
    <w:uiPriority w:val="0"/>
  </w:style>
  <w:style w:type="character" w:styleId="10">
    <w:name w:val="Hyperlink"/>
    <w:autoRedefine/>
    <w:qFormat/>
    <w:uiPriority w:val="0"/>
    <w:rPr>
      <w:color w:val="0000FF"/>
      <w:u w:val="single"/>
    </w:rPr>
  </w:style>
  <w:style w:type="character" w:styleId="11">
    <w:name w:val="annotation reference"/>
    <w:autoRedefine/>
    <w:qFormat/>
    <w:uiPriority w:val="0"/>
    <w:rPr>
      <w:sz w:val="21"/>
      <w:szCs w:val="21"/>
    </w:rPr>
  </w:style>
  <w:style w:type="character" w:customStyle="1" w:styleId="12">
    <w:name w:val="页眉 字符"/>
    <w:link w:val="5"/>
    <w:autoRedefine/>
    <w:qFormat/>
    <w:uiPriority w:val="0"/>
    <w:rPr>
      <w:rFonts w:ascii="Times New Roman" w:hAnsi="Times New Roman"/>
      <w:kern w:val="2"/>
      <w:sz w:val="18"/>
      <w:szCs w:val="18"/>
    </w:rPr>
  </w:style>
  <w:style w:type="paragraph" w:customStyle="1" w:styleId="13">
    <w:name w:val="1 Char"/>
    <w:basedOn w:val="1"/>
    <w:autoRedefine/>
    <w:qFormat/>
    <w:uiPriority w:val="0"/>
    <w:rPr>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anjubao</Company>
  <Pages>8</Pages>
  <Words>3255</Words>
  <Characters>3663</Characters>
  <Lines>25</Lines>
  <Paragraphs>7</Paragraphs>
  <TotalTime>6</TotalTime>
  <ScaleCrop>false</ScaleCrop>
  <LinksUpToDate>false</LinksUpToDate>
  <CharactersWithSpaces>3986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2023-09-16T08:36:00Z</dcterms:created>
  <dc:creator>Maxima</dc:creator>
  <cp:lastModifiedBy>李群</cp:lastModifiedBy>
  <dcterms:modified xsi:type="dcterms:W3CDTF">2025-06-16T06:58:34Z</dcterms:modified>
  <dc:title>证券代码：300155        证券简称：安居宝        公告编号：2011－012</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42A6891F059845BEB5055291466BF3AA_13</vt:lpwstr>
  </property>
  <property fmtid="{D5CDD505-2E9C-101B-9397-08002B2CF9AE}" pid="4" name="KSOTemplateDocerSaveRecord">
    <vt:lpwstr>eyJoZGlkIjoiYWRlOTk1ZDM4MjkzZjgxMjZiN2M3ZjNmNDQ5NGIzZGYiLCJ1c2VySWQiOiIzNDI3ODI2OTEifQ==</vt:lpwstr>
  </property>
</Properties>
</file>