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5C210D">
      <w:pPr>
        <w:keepNext w:val="0"/>
        <w:keepLines w:val="0"/>
        <w:pageBreakBefore w:val="0"/>
        <w:widowControl w:val="0"/>
        <w:kinsoku/>
        <w:wordWrap/>
        <w:overflowPunct/>
        <w:topLinePunct w:val="0"/>
        <w:autoSpaceDE/>
        <w:autoSpaceDN/>
        <w:bidi w:val="0"/>
        <w:adjustRightInd/>
        <w:snapToGrid/>
        <w:spacing w:before="157" w:beforeLines="50" w:after="157" w:afterLines="50" w:line="360" w:lineRule="auto"/>
        <w:ind w:firstLine="0"/>
        <w:jc w:val="center"/>
        <w:textAlignment w:val="auto"/>
        <w:rPr>
          <w:rFonts w:hint="eastAsia" w:ascii="宋体" w:hAnsi="宋体" w:eastAsia="宋体" w:cs="宋体"/>
          <w:b/>
          <w:bCs/>
          <w:color w:val="000000" w:themeColor="text1"/>
          <w:sz w:val="32"/>
          <w:szCs w:val="32"/>
          <w14:textFill>
            <w14:solidFill>
              <w14:schemeClr w14:val="tx1"/>
            </w14:solidFill>
          </w14:textFill>
        </w:rPr>
      </w:pPr>
      <w:bookmarkStart w:id="0" w:name="_GoBack"/>
      <w:bookmarkEnd w:id="0"/>
      <w:r>
        <w:rPr>
          <w:rFonts w:hint="eastAsia" w:ascii="宋体" w:hAnsi="宋体" w:eastAsia="宋体" w:cs="宋体"/>
          <w:b/>
          <w:bCs/>
          <w:color w:val="000000" w:themeColor="text1"/>
          <w:sz w:val="32"/>
          <w:szCs w:val="32"/>
          <w14:textFill>
            <w14:solidFill>
              <w14:schemeClr w14:val="tx1"/>
            </w14:solidFill>
          </w14:textFill>
        </w:rPr>
        <w:t>董事</w:t>
      </w:r>
      <w:r>
        <w:rPr>
          <w:rFonts w:hint="eastAsia" w:ascii="宋体" w:hAnsi="宋体" w:eastAsia="宋体" w:cs="宋体"/>
          <w:b/>
          <w:bCs/>
          <w:color w:val="000000" w:themeColor="text1"/>
          <w:sz w:val="32"/>
          <w:szCs w:val="32"/>
          <w:lang w:eastAsia="zh-CN"/>
          <w14:textFill>
            <w14:solidFill>
              <w14:schemeClr w14:val="tx1"/>
            </w14:solidFill>
          </w14:textFill>
        </w:rPr>
        <w:t>、</w:t>
      </w:r>
      <w:r>
        <w:rPr>
          <w:rFonts w:hint="eastAsia" w:ascii="宋体" w:hAnsi="宋体" w:eastAsia="宋体" w:cs="宋体"/>
          <w:b/>
          <w:bCs/>
          <w:color w:val="000000" w:themeColor="text1"/>
          <w:sz w:val="32"/>
          <w:szCs w:val="32"/>
          <w:lang w:val="en-US" w:eastAsia="zh-CN"/>
          <w14:textFill>
            <w14:solidFill>
              <w14:schemeClr w14:val="tx1"/>
            </w14:solidFill>
          </w14:textFill>
        </w:rPr>
        <w:t>高级管理人员</w:t>
      </w:r>
      <w:r>
        <w:rPr>
          <w:rFonts w:hint="eastAsia" w:ascii="宋体" w:hAnsi="宋体" w:eastAsia="宋体" w:cs="宋体"/>
          <w:b/>
          <w:bCs/>
          <w:color w:val="000000" w:themeColor="text1"/>
          <w:sz w:val="32"/>
          <w:szCs w:val="32"/>
          <w14:textFill>
            <w14:solidFill>
              <w14:schemeClr w14:val="tx1"/>
            </w14:solidFill>
          </w14:textFill>
        </w:rPr>
        <w:t>离职管理制度</w:t>
      </w:r>
    </w:p>
    <w:p w14:paraId="7175FCCF">
      <w:pPr>
        <w:pStyle w:val="2"/>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360" w:lineRule="auto"/>
        <w:ind w:left="0" w:firstLine="0"/>
        <w:jc w:val="center"/>
        <w:textAlignment w:val="auto"/>
        <w:outlineLvl w:val="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第一章</w:t>
      </w:r>
      <w:r>
        <w:rPr>
          <w:rFonts w:hint="eastAsia" w:ascii="宋体" w:hAnsi="宋体" w:eastAsia="宋体" w:cs="宋体"/>
          <w:b/>
          <w:bCs/>
          <w:color w:val="000000" w:themeColor="text1"/>
          <w:sz w:val="28"/>
          <w:szCs w:val="28"/>
          <w:lang w:eastAsia="zh-CN"/>
          <w14:textFill>
            <w14:solidFill>
              <w14:schemeClr w14:val="tx1"/>
            </w14:solidFill>
          </w14:textFill>
        </w:rPr>
        <w:t xml:space="preserve"> </w:t>
      </w:r>
      <w:r>
        <w:rPr>
          <w:rFonts w:hint="eastAsia" w:ascii="宋体" w:hAnsi="宋体" w:eastAsia="宋体" w:cs="宋体"/>
          <w:b/>
          <w:bCs/>
          <w:color w:val="000000" w:themeColor="text1"/>
          <w:sz w:val="28"/>
          <w:szCs w:val="28"/>
          <w14:textFill>
            <w14:solidFill>
              <w14:schemeClr w14:val="tx1"/>
            </w14:solidFill>
          </w14:textFill>
        </w:rPr>
        <w:t>总则</w:t>
      </w:r>
    </w:p>
    <w:p w14:paraId="3103AD9A">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为规范</w:t>
      </w:r>
      <w:r>
        <w:rPr>
          <w:rFonts w:hint="eastAsia" w:ascii="宋体" w:hAnsi="宋体"/>
          <w:sz w:val="24"/>
        </w:rPr>
        <w:t>冠昊生物科技股份有限公司(以下简称“公司”)</w:t>
      </w:r>
      <w:r>
        <w:rPr>
          <w:rFonts w:hint="eastAsia" w:ascii="宋体" w:hAnsi="宋体" w:eastAsia="宋体" w:cs="宋体"/>
          <w:color w:val="000000" w:themeColor="text1"/>
          <w:sz w:val="24"/>
          <w:szCs w:val="24"/>
          <w14:textFill>
            <w14:solidFill>
              <w14:schemeClr w14:val="tx1"/>
            </w14:solidFill>
          </w14:textFill>
        </w:rPr>
        <w:t>董事</w:t>
      </w:r>
      <w:r>
        <w:rPr>
          <w:rFonts w:hint="eastAsia" w:ascii="宋体" w:hAnsi="宋体" w:eastAsia="宋体" w:cs="宋体"/>
          <w:color w:val="000000" w:themeColor="text1"/>
          <w:sz w:val="24"/>
          <w:szCs w:val="24"/>
          <w:lang w:eastAsia="zh-CN"/>
          <w14:textFill>
            <w14:solidFill>
              <w14:schemeClr w14:val="tx1"/>
            </w14:solidFill>
          </w14:textFill>
        </w:rPr>
        <w:t>、高级管理人员</w:t>
      </w:r>
      <w:r>
        <w:rPr>
          <w:rFonts w:hint="eastAsia" w:ascii="宋体" w:hAnsi="宋体" w:eastAsia="宋体" w:cs="宋体"/>
          <w:color w:val="000000" w:themeColor="text1"/>
          <w:sz w:val="24"/>
          <w:szCs w:val="24"/>
          <w14:textFill>
            <w14:solidFill>
              <w14:schemeClr w14:val="tx1"/>
            </w14:solidFill>
          </w14:textFill>
        </w:rPr>
        <w:t>离职</w:t>
      </w:r>
      <w:r>
        <w:rPr>
          <w:rFonts w:hint="eastAsia" w:ascii="宋体" w:hAnsi="宋体" w:eastAsia="宋体" w:cs="宋体"/>
          <w:color w:val="000000" w:themeColor="text1"/>
          <w:sz w:val="24"/>
          <w:szCs w:val="24"/>
          <w:lang w:val="en-US" w:eastAsia="zh-CN"/>
          <w14:textFill>
            <w14:solidFill>
              <w14:schemeClr w14:val="tx1"/>
            </w14:solidFill>
          </w14:textFill>
        </w:rPr>
        <w:t>管理</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保障</w:t>
      </w:r>
      <w:r>
        <w:rPr>
          <w:rFonts w:hint="eastAsia" w:ascii="宋体" w:hAnsi="宋体" w:eastAsia="宋体" w:cs="宋体"/>
          <w:color w:val="000000" w:themeColor="text1"/>
          <w:sz w:val="24"/>
          <w:szCs w:val="24"/>
          <w14:textFill>
            <w14:solidFill>
              <w14:schemeClr w14:val="tx1"/>
            </w14:solidFill>
          </w14:textFill>
        </w:rPr>
        <w:t>公司治理稳定性和股东的合法权益，根据《公司法》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上市公司章程指引</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等法律法规、规范性文件</w:t>
      </w:r>
      <w:r>
        <w:rPr>
          <w:rFonts w:hint="eastAsia" w:ascii="宋体" w:hAnsi="宋体" w:eastAsia="宋体" w:cs="宋体"/>
          <w:color w:val="000000" w:themeColor="text1"/>
          <w:sz w:val="24"/>
          <w:szCs w:val="24"/>
          <w:lang w:val="en-US" w:eastAsia="zh-CN"/>
          <w14:textFill>
            <w14:solidFill>
              <w14:schemeClr w14:val="tx1"/>
            </w14:solidFill>
          </w14:textFill>
        </w:rPr>
        <w:t>和</w:t>
      </w:r>
      <w:r>
        <w:rPr>
          <w:rFonts w:hint="eastAsia" w:ascii="宋体" w:hAnsi="宋体" w:eastAsia="宋体" w:cs="宋体"/>
          <w:color w:val="000000" w:themeColor="text1"/>
          <w:sz w:val="24"/>
          <w:szCs w:val="24"/>
          <w14:textFill>
            <w14:solidFill>
              <w14:schemeClr w14:val="tx1"/>
            </w14:solidFill>
          </w14:textFill>
        </w:rPr>
        <w:t>《公司章程》的</w:t>
      </w:r>
      <w:r>
        <w:rPr>
          <w:rFonts w:hint="eastAsia" w:ascii="宋体" w:hAnsi="宋体" w:eastAsia="宋体" w:cs="宋体"/>
          <w:color w:val="000000" w:themeColor="text1"/>
          <w:sz w:val="24"/>
          <w:szCs w:val="24"/>
          <w:lang w:val="en-US" w:eastAsia="zh-CN"/>
          <w14:textFill>
            <w14:solidFill>
              <w14:schemeClr w14:val="tx1"/>
            </w14:solidFill>
          </w14:textFill>
        </w:rPr>
        <w:t>相</w:t>
      </w:r>
      <w:r>
        <w:rPr>
          <w:rFonts w:hint="eastAsia" w:ascii="宋体" w:hAnsi="宋体" w:eastAsia="宋体" w:cs="宋体"/>
          <w:color w:val="000000" w:themeColor="text1"/>
          <w:sz w:val="24"/>
          <w:szCs w:val="24"/>
          <w14:textFill>
            <w14:solidFill>
              <w14:schemeClr w14:val="tx1"/>
            </w14:solidFill>
          </w14:textFill>
        </w:rPr>
        <w:t>关规定，结合公司实际，制定本制度。</w:t>
      </w:r>
    </w:p>
    <w:p w14:paraId="2CD736B5">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本制度适用于公司董事</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含独立董事）、高级管理人员</w:t>
      </w:r>
      <w:r>
        <w:rPr>
          <w:rFonts w:hint="eastAsia" w:ascii="宋体" w:hAnsi="宋体" w:eastAsia="宋体" w:cs="宋体"/>
          <w:color w:val="000000" w:themeColor="text1"/>
          <w:sz w:val="24"/>
          <w:szCs w:val="24"/>
          <w14:textFill>
            <w14:solidFill>
              <w14:schemeClr w14:val="tx1"/>
            </w14:solidFill>
          </w14:textFill>
        </w:rPr>
        <w:t>因任期届满、辞</w:t>
      </w:r>
      <w:r>
        <w:rPr>
          <w:rFonts w:hint="eastAsia" w:ascii="宋体" w:hAnsi="宋体" w:eastAsia="宋体" w:cs="宋体"/>
          <w:color w:val="000000" w:themeColor="text1"/>
          <w:sz w:val="24"/>
          <w:szCs w:val="24"/>
          <w:lang w:val="en-US" w:eastAsia="zh-CN"/>
          <w14:textFill>
            <w14:solidFill>
              <w14:schemeClr w14:val="tx1"/>
            </w14:solidFill>
          </w14:textFill>
        </w:rPr>
        <w:t>任</w:t>
      </w:r>
      <w:r>
        <w:rPr>
          <w:rFonts w:hint="eastAsia" w:ascii="宋体" w:hAnsi="宋体" w:eastAsia="宋体" w:cs="宋体"/>
          <w:color w:val="000000" w:themeColor="text1"/>
          <w:sz w:val="24"/>
          <w:szCs w:val="24"/>
          <w14:textFill>
            <w14:solidFill>
              <w14:schemeClr w14:val="tx1"/>
            </w14:solidFill>
          </w14:textFill>
        </w:rPr>
        <w:t>、被解除职务或其他原因离职的情形。</w:t>
      </w:r>
    </w:p>
    <w:p w14:paraId="63DFA8F7">
      <w:pPr>
        <w:pStyle w:val="2"/>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360" w:lineRule="auto"/>
        <w:ind w:left="0" w:firstLine="0"/>
        <w:jc w:val="center"/>
        <w:textAlignment w:val="auto"/>
        <w:outlineLvl w:val="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第二章</w:t>
      </w:r>
      <w:r>
        <w:rPr>
          <w:rFonts w:hint="eastAsia" w:ascii="宋体" w:hAnsi="宋体" w:eastAsia="宋体" w:cs="宋体"/>
          <w:b/>
          <w:bCs/>
          <w:color w:val="000000" w:themeColor="text1"/>
          <w:sz w:val="28"/>
          <w:szCs w:val="28"/>
          <w:lang w:eastAsia="zh-CN"/>
          <w14:textFill>
            <w14:solidFill>
              <w14:schemeClr w14:val="tx1"/>
            </w14:solidFill>
          </w14:textFill>
        </w:rPr>
        <w:t xml:space="preserve"> </w:t>
      </w:r>
      <w:r>
        <w:rPr>
          <w:rFonts w:hint="eastAsia" w:ascii="宋体" w:hAnsi="宋体" w:eastAsia="宋体" w:cs="宋体"/>
          <w:b/>
          <w:bCs/>
          <w:color w:val="000000" w:themeColor="text1"/>
          <w:sz w:val="28"/>
          <w:szCs w:val="28"/>
          <w14:textFill>
            <w14:solidFill>
              <w14:schemeClr w14:val="tx1"/>
            </w14:solidFill>
          </w14:textFill>
        </w:rPr>
        <w:t>离职情形与程序</w:t>
      </w:r>
    </w:p>
    <w:p w14:paraId="00A867C6">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公司董事</w:t>
      </w:r>
      <w:r>
        <w:rPr>
          <w:rFonts w:hint="eastAsia" w:ascii="宋体" w:hAnsi="宋体" w:eastAsia="宋体" w:cs="宋体"/>
          <w:color w:val="000000" w:themeColor="text1"/>
          <w:sz w:val="24"/>
          <w:szCs w:val="24"/>
          <w:lang w:val="en-US" w:eastAsia="zh-CN"/>
          <w14:textFill>
            <w14:solidFill>
              <w14:schemeClr w14:val="tx1"/>
            </w14:solidFill>
          </w14:textFill>
        </w:rPr>
        <w:t>、高级管理人员</w:t>
      </w:r>
      <w:r>
        <w:rPr>
          <w:rFonts w:hint="eastAsia" w:ascii="宋体" w:hAnsi="宋体" w:eastAsia="宋体" w:cs="宋体"/>
          <w:color w:val="000000" w:themeColor="text1"/>
          <w:sz w:val="24"/>
          <w:szCs w:val="24"/>
          <w14:textFill>
            <w14:solidFill>
              <w14:schemeClr w14:val="tx1"/>
            </w14:solidFill>
          </w14:textFill>
        </w:rPr>
        <w:t>可以在任期届满前辞</w:t>
      </w:r>
      <w:r>
        <w:rPr>
          <w:rFonts w:hint="eastAsia" w:ascii="宋体" w:hAnsi="宋体" w:eastAsia="宋体" w:cs="宋体"/>
          <w:color w:val="000000" w:themeColor="text1"/>
          <w:sz w:val="24"/>
          <w:szCs w:val="24"/>
          <w:lang w:val="en-US" w:eastAsia="zh-CN"/>
          <w14:textFill>
            <w14:solidFill>
              <w14:schemeClr w14:val="tx1"/>
            </w14:solidFill>
          </w14:textFill>
        </w:rPr>
        <w:t>任</w:t>
      </w:r>
      <w:r>
        <w:rPr>
          <w:rFonts w:hint="eastAsia" w:ascii="宋体" w:hAnsi="宋体" w:eastAsia="宋体" w:cs="宋体"/>
          <w:color w:val="000000" w:themeColor="text1"/>
          <w:sz w:val="24"/>
          <w:szCs w:val="24"/>
          <w14:textFill>
            <w14:solidFill>
              <w14:schemeClr w14:val="tx1"/>
            </w14:solidFill>
          </w14:textFill>
        </w:rPr>
        <w:t>，董事</w:t>
      </w:r>
      <w:r>
        <w:rPr>
          <w:rFonts w:hint="eastAsia" w:ascii="宋体" w:hAnsi="宋体" w:eastAsia="宋体" w:cs="宋体"/>
          <w:color w:val="000000" w:themeColor="text1"/>
          <w:sz w:val="24"/>
          <w:szCs w:val="24"/>
          <w:lang w:eastAsia="zh-CN"/>
          <w14:textFill>
            <w14:solidFill>
              <w14:schemeClr w14:val="tx1"/>
            </w14:solidFill>
          </w14:textFill>
        </w:rPr>
        <w:t>、高级管理人员</w:t>
      </w:r>
      <w:r>
        <w:rPr>
          <w:rFonts w:hint="eastAsia" w:ascii="宋体" w:hAnsi="宋体" w:eastAsia="宋体" w:cs="宋体"/>
          <w:color w:val="000000" w:themeColor="text1"/>
          <w:sz w:val="24"/>
          <w:szCs w:val="24"/>
          <w14:textFill>
            <w14:solidFill>
              <w14:schemeClr w14:val="tx1"/>
            </w14:solidFill>
          </w14:textFill>
        </w:rPr>
        <w:t>辞</w:t>
      </w:r>
      <w:r>
        <w:rPr>
          <w:rFonts w:hint="eastAsia" w:ascii="宋体" w:hAnsi="宋体" w:eastAsia="宋体" w:cs="宋体"/>
          <w:color w:val="000000" w:themeColor="text1"/>
          <w:sz w:val="24"/>
          <w:szCs w:val="24"/>
          <w:lang w:val="en-US" w:eastAsia="zh-CN"/>
          <w14:textFill>
            <w14:solidFill>
              <w14:schemeClr w14:val="tx1"/>
            </w14:solidFill>
          </w14:textFill>
        </w:rPr>
        <w:t>任</w:t>
      </w:r>
      <w:r>
        <w:rPr>
          <w:rFonts w:hint="eastAsia" w:ascii="宋体" w:hAnsi="宋体" w:eastAsia="宋体" w:cs="宋体"/>
          <w:color w:val="000000" w:themeColor="text1"/>
          <w:sz w:val="24"/>
          <w:szCs w:val="24"/>
          <w14:textFill>
            <w14:solidFill>
              <w14:schemeClr w14:val="tx1"/>
            </w14:solidFill>
          </w14:textFill>
        </w:rPr>
        <w:t>应当向公司</w:t>
      </w:r>
      <w:r>
        <w:rPr>
          <w:rFonts w:hint="eastAsia" w:ascii="宋体" w:hAnsi="宋体" w:eastAsia="宋体" w:cs="宋体"/>
          <w:color w:val="000000" w:themeColor="text1"/>
          <w:sz w:val="24"/>
          <w:szCs w:val="24"/>
          <w:lang w:val="en-US" w:eastAsia="zh-CN"/>
          <w14:textFill>
            <w14:solidFill>
              <w14:schemeClr w14:val="tx1"/>
            </w14:solidFill>
          </w14:textFill>
        </w:rPr>
        <w:t>董事会</w:t>
      </w:r>
      <w:r>
        <w:rPr>
          <w:rFonts w:hint="eastAsia" w:ascii="宋体" w:hAnsi="宋体" w:eastAsia="宋体" w:cs="宋体"/>
          <w:color w:val="000000" w:themeColor="text1"/>
          <w:sz w:val="24"/>
          <w:szCs w:val="24"/>
          <w14:textFill>
            <w14:solidFill>
              <w14:schemeClr w14:val="tx1"/>
            </w14:solidFill>
          </w14:textFill>
        </w:rPr>
        <w:t>提交书面辞职报告，辞职报告中应说明辞职原因，公司收到辞职报告之日辞</w:t>
      </w:r>
      <w:r>
        <w:rPr>
          <w:rFonts w:hint="eastAsia" w:ascii="宋体" w:hAnsi="宋体" w:eastAsia="宋体" w:cs="宋体"/>
          <w:color w:val="000000" w:themeColor="text1"/>
          <w:sz w:val="24"/>
          <w:szCs w:val="24"/>
          <w:lang w:val="en-US" w:eastAsia="zh-CN"/>
          <w14:textFill>
            <w14:solidFill>
              <w14:schemeClr w14:val="tx1"/>
            </w14:solidFill>
          </w14:textFill>
        </w:rPr>
        <w:t>任</w:t>
      </w:r>
      <w:r>
        <w:rPr>
          <w:rFonts w:hint="eastAsia" w:ascii="宋体" w:hAnsi="宋体" w:eastAsia="宋体" w:cs="宋体"/>
          <w:color w:val="000000" w:themeColor="text1"/>
          <w:sz w:val="24"/>
          <w:szCs w:val="24"/>
          <w14:textFill>
            <w14:solidFill>
              <w14:schemeClr w14:val="tx1"/>
            </w14:solidFill>
          </w14:textFill>
        </w:rPr>
        <w:t>生效</w:t>
      </w:r>
      <w:r>
        <w:rPr>
          <w:rFonts w:hint="eastAsia" w:ascii="宋体" w:hAnsi="宋体" w:eastAsia="宋体" w:cs="宋体"/>
          <w:color w:val="000000" w:themeColor="text1"/>
          <w:sz w:val="24"/>
          <w:szCs w:val="24"/>
          <w:lang w:eastAsia="zh-CN"/>
          <w14:textFill>
            <w14:solidFill>
              <w14:schemeClr w14:val="tx1"/>
            </w14:solidFill>
          </w14:textFill>
        </w:rPr>
        <w:t>，公司将在两个交易日内披露有关情况。</w:t>
      </w:r>
    </w:p>
    <w:p w14:paraId="32016B2C">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如存在下列情形，在改选出的董事就任前，原董事仍应当依照法律法规、</w:t>
      </w:r>
      <w:r>
        <w:rPr>
          <w:rFonts w:hint="eastAsia" w:ascii="宋体" w:hAnsi="宋体" w:eastAsia="宋体" w:cs="宋体"/>
          <w:color w:val="000000" w:themeColor="text1"/>
          <w:sz w:val="24"/>
          <w:szCs w:val="24"/>
          <w:lang w:val="en-US" w:eastAsia="zh-CN"/>
          <w14:textFill>
            <w14:solidFill>
              <w14:schemeClr w14:val="tx1"/>
            </w14:solidFill>
          </w14:textFill>
        </w:rPr>
        <w:t>规范性文件</w:t>
      </w:r>
      <w:r>
        <w:rPr>
          <w:rFonts w:hint="eastAsia" w:ascii="宋体" w:hAnsi="宋体" w:eastAsia="宋体" w:cs="宋体"/>
          <w:color w:val="000000" w:themeColor="text1"/>
          <w:sz w:val="24"/>
          <w:szCs w:val="24"/>
          <w14:textFill>
            <w14:solidFill>
              <w14:schemeClr w14:val="tx1"/>
            </w14:solidFill>
          </w14:textFill>
        </w:rPr>
        <w:t>和《公司章程》的规定，</w:t>
      </w:r>
      <w:r>
        <w:rPr>
          <w:rFonts w:hint="eastAsia" w:ascii="宋体" w:hAnsi="宋体" w:eastAsia="宋体" w:cs="宋体"/>
          <w:color w:val="000000" w:themeColor="text1"/>
          <w:sz w:val="24"/>
          <w:szCs w:val="24"/>
          <w:lang w:val="en-US" w:eastAsia="zh-CN"/>
          <w14:textFill>
            <w14:solidFill>
              <w14:schemeClr w14:val="tx1"/>
            </w14:solidFill>
          </w14:textFill>
        </w:rPr>
        <w:t>继续</w:t>
      </w:r>
      <w:r>
        <w:rPr>
          <w:rFonts w:hint="eastAsia" w:ascii="宋体" w:hAnsi="宋体" w:eastAsia="宋体" w:cs="宋体"/>
          <w:color w:val="000000" w:themeColor="text1"/>
          <w:sz w:val="24"/>
          <w:szCs w:val="24"/>
          <w14:textFill>
            <w14:solidFill>
              <w14:schemeClr w14:val="tx1"/>
            </w14:solidFill>
          </w14:textFill>
        </w:rPr>
        <w:t>履行董事</w:t>
      </w:r>
      <w:r>
        <w:rPr>
          <w:rFonts w:hint="eastAsia" w:ascii="宋体" w:hAnsi="宋体" w:eastAsia="宋体" w:cs="宋体"/>
          <w:color w:val="000000" w:themeColor="text1"/>
          <w:sz w:val="24"/>
          <w:szCs w:val="24"/>
          <w:lang w:val="en-US" w:eastAsia="zh-CN"/>
          <w14:textFill>
            <w14:solidFill>
              <w14:schemeClr w14:val="tx1"/>
            </w14:solidFill>
          </w14:textFill>
        </w:rPr>
        <w:t>职责</w:t>
      </w:r>
      <w:r>
        <w:rPr>
          <w:rFonts w:hint="eastAsia" w:ascii="宋体" w:hAnsi="宋体" w:eastAsia="宋体" w:cs="宋体"/>
          <w:color w:val="000000" w:themeColor="text1"/>
          <w:sz w:val="24"/>
          <w:szCs w:val="24"/>
          <w14:textFill>
            <w14:solidFill>
              <w14:schemeClr w14:val="tx1"/>
            </w14:solidFill>
          </w14:textFill>
        </w:rPr>
        <w:t>，但存在相关法规另有规定的除外：</w:t>
      </w:r>
    </w:p>
    <w:p w14:paraId="5458A461">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（一）董事任期届满未及时改选，或者董事在任期内辞任导致董事会成员低于法定最低人数；</w:t>
      </w:r>
    </w:p>
    <w:p w14:paraId="36DA7060">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firstLine="480" w:firstLineChars="200"/>
        <w:textAlignment w:val="auto"/>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（二）审计委员会成员辞任导致审计委员会成员低于法定最低人数，或者欠缺会计专业人士</w:t>
      </w:r>
      <w:r>
        <w:rPr>
          <w:rFonts w:hint="eastAsia" w:ascii="宋体" w:hAnsi="宋体" w:eastAsia="宋体" w:cs="宋体"/>
          <w:color w:val="000000" w:themeColor="text1"/>
          <w:sz w:val="24"/>
          <w:szCs w:val="24"/>
          <w:lang w:eastAsia="zh-CN"/>
          <w14:textFill>
            <w14:solidFill>
              <w14:schemeClr w14:val="tx1"/>
            </w14:solidFill>
          </w14:textFill>
        </w:rPr>
        <w:t>；</w:t>
      </w:r>
    </w:p>
    <w:p w14:paraId="5F9346E7">
      <w:pPr>
        <w:pStyle w:val="2"/>
        <w:keepNext w:val="0"/>
        <w:keepLines w:val="0"/>
        <w:pageBreakBefore w:val="0"/>
        <w:widowControl/>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（三）独立董事辞任导致上市公司董事会或者其专门委员会中独立董事所占比例不符合法律法规</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规范性文件</w:t>
      </w:r>
      <w:r>
        <w:rPr>
          <w:rFonts w:hint="eastAsia" w:ascii="宋体" w:hAnsi="宋体" w:eastAsia="宋体" w:cs="宋体"/>
          <w:color w:val="000000" w:themeColor="text1"/>
          <w:sz w:val="24"/>
          <w:szCs w:val="24"/>
          <w14:textFill>
            <w14:solidFill>
              <w14:schemeClr w14:val="tx1"/>
            </w14:solidFill>
          </w14:textFill>
        </w:rPr>
        <w:t>或</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公司章程</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规定，或独立董事中欠缺会计专业人士。</w:t>
      </w:r>
    </w:p>
    <w:p w14:paraId="704DB657">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b w:val="0"/>
          <w:bCs w:val="0"/>
          <w:color w:val="000000" w:themeColor="text1"/>
          <w:sz w:val="24"/>
          <w:szCs w:val="24"/>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董事提出辞</w:t>
      </w:r>
      <w:r>
        <w:rPr>
          <w:rFonts w:hint="eastAsia" w:ascii="宋体" w:hAnsi="宋体" w:eastAsia="宋体" w:cs="宋体"/>
          <w:b w:val="0"/>
          <w:bCs w:val="0"/>
          <w:color w:val="000000" w:themeColor="text1"/>
          <w:sz w:val="24"/>
          <w:szCs w:val="24"/>
          <w:lang w:val="en-US" w:eastAsia="zh-CN"/>
          <w14:textFill>
            <w14:solidFill>
              <w14:schemeClr w14:val="tx1"/>
            </w14:solidFill>
          </w14:textFill>
        </w:rPr>
        <w:t>任</w:t>
      </w:r>
      <w:r>
        <w:rPr>
          <w:rFonts w:hint="eastAsia" w:ascii="宋体" w:hAnsi="宋体" w:eastAsia="宋体" w:cs="宋体"/>
          <w:b w:val="0"/>
          <w:bCs w:val="0"/>
          <w:color w:val="000000" w:themeColor="text1"/>
          <w:sz w:val="24"/>
          <w:szCs w:val="24"/>
          <w14:textFill>
            <w14:solidFill>
              <w14:schemeClr w14:val="tx1"/>
            </w14:solidFill>
          </w14:textFill>
        </w:rPr>
        <w:t>的，公司应当在60日内完成补选，确保董事会及其专门委员会构成符合法律法规和《公司章程》的规定。</w:t>
      </w:r>
    </w:p>
    <w:p w14:paraId="56E6D924">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公司董事、高级管理人员在任职期间出现</w:t>
      </w:r>
      <w:r>
        <w:rPr>
          <w:rFonts w:hint="eastAsia" w:ascii="宋体" w:hAnsi="宋体" w:eastAsia="宋体" w:cs="宋体"/>
          <w:color w:val="000000" w:themeColor="text1"/>
          <w:sz w:val="24"/>
          <w:szCs w:val="24"/>
          <w:lang w:val="en-US" w:eastAsia="zh-CN"/>
          <w14:textFill>
            <w14:solidFill>
              <w14:schemeClr w14:val="tx1"/>
            </w14:solidFill>
          </w14:textFill>
        </w:rPr>
        <w:t>下列</w:t>
      </w:r>
      <w:r>
        <w:rPr>
          <w:rFonts w:hint="eastAsia" w:ascii="宋体" w:hAnsi="宋体" w:eastAsia="宋体" w:cs="宋体"/>
          <w:color w:val="000000" w:themeColor="text1"/>
          <w:sz w:val="24"/>
          <w:szCs w:val="24"/>
          <w14:textFill>
            <w14:solidFill>
              <w14:schemeClr w14:val="tx1"/>
            </w14:solidFill>
          </w14:textFill>
        </w:rPr>
        <w:t>情形的，公司应当依法解除其职务</w:t>
      </w:r>
      <w:r>
        <w:rPr>
          <w:rFonts w:hint="eastAsia" w:ascii="宋体" w:hAnsi="宋体" w:eastAsia="宋体" w:cs="宋体"/>
          <w:color w:val="000000" w:themeColor="text1"/>
          <w:sz w:val="24"/>
          <w:szCs w:val="24"/>
          <w:lang w:eastAsia="zh-CN"/>
          <w14:textFill>
            <w14:solidFill>
              <w14:schemeClr w14:val="tx1"/>
            </w14:solidFill>
          </w14:textFill>
        </w:rPr>
        <w:t>：</w:t>
      </w:r>
    </w:p>
    <w:p w14:paraId="6AE2C3A2">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（一）无民事行为能力或者限制民事行为能力；</w:t>
      </w:r>
    </w:p>
    <w:p w14:paraId="7F6ACCCB">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（二）因贪污、贿赂、侵占财产、挪用财产或者破坏社会主义市场经济秩序，被判处刑罚，或者因犯罪被剥夺政治权利，执行期满未逾五年，被宣告缓刑的，自缓刑考验期满之日起未逾</w:t>
      </w: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年；</w:t>
      </w:r>
    </w:p>
    <w:p w14:paraId="06CCD1C8">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（三）担任破产清算的公司、企业的董事或者厂长、经理，对该公司、企业的破产负有个人责任的，自该公司、企业破产清算完结之日起未逾</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w:t>
      </w:r>
    </w:p>
    <w:p w14:paraId="58884688">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（四）担任因违法被吊销营业执照、责令关闭的公司、企业的法定代表人，并负有个人责任的，自该公司、企业被吊销营业执照、责令关闭之日起未逾</w:t>
      </w: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w:t>
      </w:r>
    </w:p>
    <w:p w14:paraId="1164975E">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（五）个人所负数额较大的债务到期未清偿被人民法院列为失信被执行人；</w:t>
      </w:r>
    </w:p>
    <w:p w14:paraId="453D2C46">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（六）被中国证监会采取证券市场禁入措施，期限未满的；</w:t>
      </w:r>
    </w:p>
    <w:p w14:paraId="2E263BB5">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（七）被</w:t>
      </w:r>
      <w:r>
        <w:rPr>
          <w:rFonts w:hint="eastAsia" w:ascii="宋体" w:hAnsi="宋体" w:eastAsia="宋体" w:cs="宋体"/>
          <w:color w:val="000000" w:themeColor="text1"/>
          <w:sz w:val="24"/>
          <w:szCs w:val="24"/>
          <w:lang w:val="en-US" w:eastAsia="zh-CN"/>
          <w14:textFill>
            <w14:solidFill>
              <w14:schemeClr w14:val="tx1"/>
            </w14:solidFill>
          </w14:textFill>
        </w:rPr>
        <w:t>深圳</w:t>
      </w:r>
      <w:r>
        <w:rPr>
          <w:rFonts w:hint="eastAsia" w:ascii="宋体" w:hAnsi="宋体" w:eastAsia="宋体" w:cs="宋体"/>
          <w:color w:val="000000" w:themeColor="text1"/>
          <w:sz w:val="24"/>
          <w:szCs w:val="24"/>
          <w14:textFill>
            <w14:solidFill>
              <w14:schemeClr w14:val="tx1"/>
            </w14:solidFill>
          </w14:textFill>
        </w:rPr>
        <w:t>证券交易所公开认定为不适合担任上市公司董事、高级管理人员等，期限未满的；</w:t>
      </w:r>
    </w:p>
    <w:p w14:paraId="3231A8C8">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（八）法律法规</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规范性文件规定</w:t>
      </w:r>
      <w:r>
        <w:rPr>
          <w:rFonts w:hint="eastAsia" w:ascii="宋体" w:hAnsi="宋体" w:eastAsia="宋体" w:cs="宋体"/>
          <w:color w:val="000000" w:themeColor="text1"/>
          <w:sz w:val="24"/>
          <w:szCs w:val="24"/>
          <w14:textFill>
            <w14:solidFill>
              <w14:schemeClr w14:val="tx1"/>
            </w14:solidFill>
          </w14:textFill>
        </w:rPr>
        <w:t>的其他内容。</w:t>
      </w:r>
    </w:p>
    <w:p w14:paraId="1FBF8AEF">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股东会可以决议解任董事，决议作出之日解任生效。董事会可以决议解任高级管理人员，决议作出之日解任生效。</w:t>
      </w:r>
    </w:p>
    <w:p w14:paraId="2D6F6CEE">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无正当理由，在任期届满前解任董事</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高级管理人员</w:t>
      </w:r>
      <w:r>
        <w:rPr>
          <w:rFonts w:hint="eastAsia" w:ascii="宋体" w:hAnsi="宋体" w:eastAsia="宋体" w:cs="宋体"/>
          <w:color w:val="000000" w:themeColor="text1"/>
          <w:sz w:val="24"/>
          <w:szCs w:val="24"/>
          <w14:textFill>
            <w14:solidFill>
              <w14:schemeClr w14:val="tx1"/>
            </w14:solidFill>
          </w14:textFill>
        </w:rPr>
        <w:t>的，董事</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高级管理人员可以要求公司予以赔偿。公司应依据法律法规、《公司章程》的规定及聘任合同的相关约定，综合考虑多种因素确定是否补偿以及补偿的合理数额。</w:t>
      </w:r>
    </w:p>
    <w:p w14:paraId="6E4CD071">
      <w:pPr>
        <w:pStyle w:val="2"/>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360" w:lineRule="auto"/>
        <w:ind w:left="0" w:firstLine="0"/>
        <w:jc w:val="center"/>
        <w:textAlignment w:val="auto"/>
        <w:outlineLvl w:val="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第三章</w:t>
      </w:r>
      <w:r>
        <w:rPr>
          <w:rFonts w:hint="eastAsia" w:ascii="宋体" w:hAnsi="宋体" w:eastAsia="宋体" w:cs="宋体"/>
          <w:b/>
          <w:bCs/>
          <w:color w:val="000000" w:themeColor="text1"/>
          <w:sz w:val="28"/>
          <w:szCs w:val="28"/>
          <w:lang w:eastAsia="zh-CN"/>
          <w14:textFill>
            <w14:solidFill>
              <w14:schemeClr w14:val="tx1"/>
            </w14:solidFill>
          </w14:textFill>
        </w:rPr>
        <w:t xml:space="preserve"> </w:t>
      </w:r>
      <w:r>
        <w:rPr>
          <w:rFonts w:hint="eastAsia" w:ascii="宋体" w:hAnsi="宋体" w:eastAsia="宋体" w:cs="宋体"/>
          <w:b/>
          <w:bCs/>
          <w:color w:val="000000" w:themeColor="text1"/>
          <w:sz w:val="28"/>
          <w:szCs w:val="28"/>
          <w14:textFill>
            <w14:solidFill>
              <w14:schemeClr w14:val="tx1"/>
            </w14:solidFill>
          </w14:textFill>
        </w:rPr>
        <w:t>移交手续与未结事项处理</w:t>
      </w:r>
    </w:p>
    <w:p w14:paraId="75A2CAF2">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董事、高级管理人员应于正式离职</w:t>
      </w: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eastAsia" w:ascii="宋体" w:hAnsi="宋体" w:eastAsia="宋体" w:cs="宋体"/>
          <w:color w:val="000000" w:themeColor="text1"/>
          <w:sz w:val="24"/>
          <w:szCs w:val="24"/>
          <w14:textFill>
            <w14:solidFill>
              <w14:schemeClr w14:val="tx1"/>
            </w14:solidFill>
          </w14:textFill>
        </w:rPr>
        <w:t>日内向董事会办妥所有移交手续，完成工作交接，包括但不限于任职期间取得的涉及公司的全部文件、印章</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财务资料</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未完结事项的说明</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处理建议以及其他物品等的移交，交接记录</w:t>
      </w:r>
      <w:r>
        <w:rPr>
          <w:rFonts w:hint="eastAsia" w:ascii="宋体" w:hAnsi="宋体" w:eastAsia="宋体" w:cs="宋体"/>
          <w:color w:val="000000" w:themeColor="text1"/>
          <w:sz w:val="24"/>
          <w:szCs w:val="24"/>
          <w:lang w:val="en-US" w:eastAsia="zh-CN"/>
          <w14:textFill>
            <w14:solidFill>
              <w14:schemeClr w14:val="tx1"/>
            </w14:solidFill>
          </w14:textFill>
        </w:rPr>
        <w:t>由董事会秘书</w:t>
      </w:r>
      <w:r>
        <w:rPr>
          <w:rFonts w:hint="eastAsia" w:ascii="宋体" w:hAnsi="宋体" w:eastAsia="宋体" w:cs="宋体"/>
          <w:color w:val="000000" w:themeColor="text1"/>
          <w:sz w:val="24"/>
          <w:szCs w:val="24"/>
          <w14:textFill>
            <w14:solidFill>
              <w14:schemeClr w14:val="tx1"/>
            </w14:solidFill>
          </w14:textFill>
        </w:rPr>
        <w:t>存档备查移交完成后，离职人员应当与公司授权人士共同签署相关文件。</w:t>
      </w:r>
    </w:p>
    <w:p w14:paraId="4CDE56FE">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董事、高级管理人员在任职期间作出的公开承诺，无论其离职原因如何，均应继续履行。若董事、高级管理人员离职时尚未履行完毕公开承诺，离职董事、高级管理人员应在离职前提交书面说明，明确未履行完毕承诺的具体事项、预计完成时间及后续履行计划，公司在必要时采取相应措施督促离职董事、高级管理人员履行承诺。</w:t>
      </w:r>
    </w:p>
    <w:p w14:paraId="25E283EF">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jc w:val="center"/>
        <w:textAlignment w:val="auto"/>
        <w:outlineLvl w:val="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第</w:t>
      </w:r>
      <w:r>
        <w:rPr>
          <w:rFonts w:hint="eastAsia" w:ascii="宋体" w:hAnsi="宋体" w:eastAsia="宋体" w:cs="宋体"/>
          <w:b/>
          <w:bCs/>
          <w:color w:val="000000" w:themeColor="text1"/>
          <w:sz w:val="28"/>
          <w:szCs w:val="28"/>
          <w:lang w:val="en-US" w:eastAsia="zh-CN"/>
          <w14:textFill>
            <w14:solidFill>
              <w14:schemeClr w14:val="tx1"/>
            </w14:solidFill>
          </w14:textFill>
        </w:rPr>
        <w:t>四</w:t>
      </w:r>
      <w:r>
        <w:rPr>
          <w:rFonts w:hint="eastAsia" w:ascii="宋体" w:hAnsi="宋体" w:eastAsia="宋体" w:cs="宋体"/>
          <w:b/>
          <w:bCs/>
          <w:color w:val="000000" w:themeColor="text1"/>
          <w:sz w:val="28"/>
          <w:szCs w:val="28"/>
          <w14:textFill>
            <w14:solidFill>
              <w14:schemeClr w14:val="tx1"/>
            </w14:solidFill>
          </w14:textFill>
        </w:rPr>
        <w:t>章</w:t>
      </w:r>
      <w:r>
        <w:rPr>
          <w:rFonts w:hint="eastAsia" w:ascii="宋体" w:hAnsi="宋体" w:eastAsia="宋体" w:cs="宋体"/>
          <w:b/>
          <w:bCs/>
          <w:color w:val="000000" w:themeColor="text1"/>
          <w:sz w:val="28"/>
          <w:szCs w:val="28"/>
          <w:lang w:eastAsia="zh-CN"/>
          <w14:textFill>
            <w14:solidFill>
              <w14:schemeClr w14:val="tx1"/>
            </w14:solidFill>
          </w14:textFill>
        </w:rPr>
        <w:t xml:space="preserve"> </w:t>
      </w:r>
      <w:r>
        <w:rPr>
          <w:rFonts w:hint="eastAsia" w:ascii="宋体" w:hAnsi="宋体" w:eastAsia="宋体" w:cs="宋体"/>
          <w:b/>
          <w:bCs/>
          <w:color w:val="000000" w:themeColor="text1"/>
          <w:sz w:val="28"/>
          <w:szCs w:val="28"/>
          <w14:textFill>
            <w14:solidFill>
              <w14:schemeClr w14:val="tx1"/>
            </w14:solidFill>
          </w14:textFill>
        </w:rPr>
        <w:t>离职</w:t>
      </w:r>
      <w:r>
        <w:rPr>
          <w:rFonts w:hint="eastAsia" w:ascii="宋体" w:hAnsi="宋体" w:eastAsia="宋体" w:cs="宋体"/>
          <w:b/>
          <w:bCs/>
          <w:color w:val="000000" w:themeColor="text1"/>
          <w:sz w:val="28"/>
          <w:szCs w:val="28"/>
          <w:lang w:val="en-US" w:eastAsia="zh-CN"/>
          <w14:textFill>
            <w14:solidFill>
              <w14:schemeClr w14:val="tx1"/>
            </w14:solidFill>
          </w14:textFill>
        </w:rPr>
        <w:t>后</w:t>
      </w:r>
      <w:r>
        <w:rPr>
          <w:rFonts w:hint="eastAsia" w:ascii="宋体" w:hAnsi="宋体" w:eastAsia="宋体" w:cs="宋体"/>
          <w:b/>
          <w:bCs/>
          <w:color w:val="000000" w:themeColor="text1"/>
          <w:sz w:val="28"/>
          <w:szCs w:val="28"/>
          <w14:textFill>
            <w14:solidFill>
              <w14:schemeClr w14:val="tx1"/>
            </w14:solidFill>
          </w14:textFill>
        </w:rPr>
        <w:t>的责任及义务</w:t>
      </w:r>
    </w:p>
    <w:p w14:paraId="5A5A102F">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公司董事、高级管理人员应当向公司申报所持有的本公司的股份及其变动情况，离职董事、高级管理人员的持股变动应遵守以下规定：</w:t>
      </w:r>
    </w:p>
    <w:p w14:paraId="7703A82D">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在离职后</w:t>
      </w:r>
      <w:r>
        <w:rPr>
          <w:rFonts w:hint="eastAsia" w:ascii="Times New Roman" w:hAnsi="Times New Roman" w:eastAsia="宋体" w:cs="Times New Roman"/>
          <w:color w:val="000000" w:themeColor="text1"/>
          <w:sz w:val="24"/>
          <w:szCs w:val="24"/>
          <w14:textFill>
            <w14:solidFill>
              <w14:schemeClr w14:val="tx1"/>
            </w14:solidFill>
          </w14:textFill>
        </w:rPr>
        <w:t>6</w:t>
      </w:r>
      <w:r>
        <w:rPr>
          <w:rFonts w:hint="eastAsia" w:ascii="宋体" w:hAnsi="宋体" w:eastAsia="宋体" w:cs="宋体"/>
          <w:color w:val="000000" w:themeColor="text1"/>
          <w:sz w:val="24"/>
          <w:szCs w:val="24"/>
          <w14:textFill>
            <w14:solidFill>
              <w14:schemeClr w14:val="tx1"/>
            </w14:solidFill>
          </w14:textFill>
        </w:rPr>
        <w:t>个月内不得转让其所持公司股份；</w:t>
      </w:r>
    </w:p>
    <w:p w14:paraId="4D37ADB8">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在就任时确定的任职期间，每年通过集中竞价、大宗交易、协议转让等方式转让的股份，不得超过其所持公司股份总数的</w:t>
      </w:r>
      <w:r>
        <w:rPr>
          <w:rFonts w:hint="eastAsia" w:ascii="Times New Roman" w:hAnsi="Times New Roman" w:eastAsia="宋体" w:cs="Times New Roman"/>
          <w:color w:val="000000" w:themeColor="text1"/>
          <w:sz w:val="24"/>
          <w:szCs w:val="24"/>
          <w14:textFill>
            <w14:solidFill>
              <w14:schemeClr w14:val="tx1"/>
            </w14:solidFill>
          </w14:textFill>
        </w:rPr>
        <w:t>25%</w:t>
      </w:r>
      <w:r>
        <w:rPr>
          <w:rFonts w:hint="eastAsia"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但</w:t>
      </w:r>
      <w:r>
        <w:rPr>
          <w:rFonts w:hint="eastAsia" w:ascii="宋体" w:hAnsi="宋体" w:eastAsia="宋体" w:cs="宋体"/>
          <w:color w:val="000000" w:themeColor="text1"/>
          <w:sz w:val="24"/>
          <w:szCs w:val="24"/>
          <w14:textFill>
            <w14:solidFill>
              <w14:schemeClr w14:val="tx1"/>
            </w14:solidFill>
          </w14:textFill>
        </w:rPr>
        <w:t>因司法强制执行、继承、遗赠、依法分割财产等导致股份变动的除外</w:t>
      </w:r>
      <w:r>
        <w:rPr>
          <w:rFonts w:hint="eastAsia" w:ascii="宋体" w:hAnsi="宋体" w:eastAsia="宋体" w:cs="宋体"/>
          <w:color w:val="000000" w:themeColor="text1"/>
          <w:sz w:val="24"/>
          <w:szCs w:val="24"/>
          <w:lang w:eastAsia="zh-CN"/>
          <w14:textFill>
            <w14:solidFill>
              <w14:schemeClr w14:val="tx1"/>
            </w14:solidFill>
          </w14:textFill>
        </w:rPr>
        <w:t>；</w:t>
      </w:r>
    </w:p>
    <w:p w14:paraId="7433561C">
      <w:pPr>
        <w:pStyle w:val="2"/>
        <w:keepNext w:val="0"/>
        <w:keepLines w:val="0"/>
        <w:pageBreakBefore w:val="0"/>
        <w:widowControl/>
        <w:numPr>
          <w:ilvl w:val="0"/>
          <w:numId w:val="2"/>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法律法规、</w:t>
      </w:r>
      <w:r>
        <w:rPr>
          <w:rFonts w:hint="eastAsia" w:ascii="宋体" w:hAnsi="宋体" w:eastAsia="宋体" w:cs="宋体"/>
          <w:color w:val="000000" w:themeColor="text1"/>
          <w:sz w:val="24"/>
          <w:szCs w:val="24"/>
          <w:lang w:val="en-US" w:eastAsia="zh-CN"/>
          <w14:textFill>
            <w14:solidFill>
              <w14:schemeClr w14:val="tx1"/>
            </w14:solidFill>
          </w14:textFill>
        </w:rPr>
        <w:t>规范性文件</w:t>
      </w:r>
      <w:r>
        <w:rPr>
          <w:rFonts w:hint="eastAsia" w:ascii="宋体" w:hAnsi="宋体" w:eastAsia="宋体" w:cs="宋体"/>
          <w:color w:val="000000" w:themeColor="text1"/>
          <w:sz w:val="24"/>
          <w:szCs w:val="24"/>
          <w14:textFill>
            <w14:solidFill>
              <w14:schemeClr w14:val="tx1"/>
            </w14:solidFill>
          </w14:textFill>
        </w:rPr>
        <w:t>、证券监督管理机构规定及</w:t>
      </w:r>
      <w:r>
        <w:rPr>
          <w:rFonts w:hint="eastAsia" w:ascii="宋体" w:hAnsi="宋体" w:eastAsia="宋体" w:cs="宋体"/>
          <w:color w:val="000000" w:themeColor="text1"/>
          <w:sz w:val="24"/>
          <w:szCs w:val="24"/>
          <w:lang w:val="en-US" w:eastAsia="zh-CN"/>
          <w14:textFill>
            <w14:solidFill>
              <w14:schemeClr w14:val="tx1"/>
            </w14:solidFill>
          </w14:textFill>
        </w:rPr>
        <w:t>深圳</w:t>
      </w:r>
      <w:r>
        <w:rPr>
          <w:rFonts w:hint="eastAsia" w:ascii="宋体" w:hAnsi="宋体" w:eastAsia="宋体" w:cs="宋体"/>
          <w:color w:val="000000" w:themeColor="text1"/>
          <w:sz w:val="24"/>
          <w:szCs w:val="24"/>
          <w14:textFill>
            <w14:solidFill>
              <w14:schemeClr w14:val="tx1"/>
            </w14:solidFill>
          </w14:textFill>
        </w:rPr>
        <w:t>证券交易所业务规则对公司股份的转让限制另有规定的，从其规定。</w:t>
      </w:r>
    </w:p>
    <w:p w14:paraId="4D524E79">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Chars="0" w:right="0" w:righ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董事、高级管理人员</w:t>
      </w:r>
      <w:r>
        <w:rPr>
          <w:rFonts w:hint="eastAsia" w:ascii="宋体" w:hAnsi="宋体" w:eastAsia="宋体" w:cs="宋体"/>
          <w:color w:val="000000" w:themeColor="text1"/>
          <w:sz w:val="24"/>
          <w:szCs w:val="24"/>
          <w:lang w:val="en-US" w:eastAsia="zh-CN"/>
          <w14:textFill>
            <w14:solidFill>
              <w14:schemeClr w14:val="tx1"/>
            </w14:solidFill>
          </w14:textFill>
        </w:rPr>
        <w:t>应当</w:t>
      </w:r>
      <w:r>
        <w:rPr>
          <w:rFonts w:hint="eastAsia" w:ascii="宋体" w:hAnsi="宋体" w:eastAsia="宋体" w:cs="宋体"/>
          <w:color w:val="000000" w:themeColor="text1"/>
          <w:sz w:val="24"/>
          <w:szCs w:val="24"/>
          <w14:textFill>
            <w14:solidFill>
              <w14:schemeClr w14:val="tx1"/>
            </w14:solidFill>
          </w14:textFill>
        </w:rPr>
        <w:t>在离职后</w:t>
      </w:r>
      <w:r>
        <w:rPr>
          <w:rFonts w:hint="default" w:ascii="Times New Roman" w:hAnsi="Times New Roman" w:eastAsia="宋体" w:cs="Times New Roman"/>
          <w:color w:val="000000" w:themeColor="text1"/>
          <w:sz w:val="24"/>
          <w:szCs w:val="24"/>
          <w14:textFill>
            <w14:solidFill>
              <w14:schemeClr w14:val="tx1"/>
            </w14:solidFill>
          </w14:textFill>
        </w:rPr>
        <w:t>2</w:t>
      </w:r>
      <w:r>
        <w:rPr>
          <w:rFonts w:hint="eastAsia" w:ascii="宋体" w:hAnsi="宋体" w:eastAsia="宋体" w:cs="宋体"/>
          <w:color w:val="000000" w:themeColor="text1"/>
          <w:sz w:val="24"/>
          <w:szCs w:val="24"/>
          <w14:textFill>
            <w14:solidFill>
              <w14:schemeClr w14:val="tx1"/>
            </w14:solidFill>
          </w14:textFill>
        </w:rPr>
        <w:t>个交易日内委托公司通过证券交易所网站申报其姓名、职务、身份证号、证券账户、离职时间等个人信息。</w:t>
      </w:r>
    </w:p>
    <w:p w14:paraId="224E7FBF">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公司董事、高级管理人员离职后，不得利用原职务影响干扰公司正常经营，或损害公司及股东利益。离职董事、高级管理人员对公司和股东承担的忠实义务，在任期结束后并不当然解除，其对公司商业秘密保密的义务在离职后仍然有效，直到该秘密成为公开信息；离职董事、高级管理人员在任职期间因执行职务而应承担的责任，不因离职而免除或者终止。</w:t>
      </w:r>
    </w:p>
    <w:p w14:paraId="7B85695F">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任</w:t>
      </w:r>
      <w:r>
        <w:rPr>
          <w:rFonts w:hint="eastAsia" w:ascii="宋体" w:hAnsi="宋体" w:eastAsia="宋体" w:cs="宋体"/>
          <w:color w:val="000000" w:themeColor="text1"/>
          <w:sz w:val="24"/>
          <w:szCs w:val="24"/>
          <w:lang w:val="en-US" w:eastAsia="zh-CN"/>
          <w14:textFill>
            <w14:solidFill>
              <w14:schemeClr w14:val="tx1"/>
            </w14:solidFill>
          </w14:textFill>
        </w:rPr>
        <w:t>期</w:t>
      </w:r>
      <w:r>
        <w:rPr>
          <w:rFonts w:hint="eastAsia" w:ascii="宋体" w:hAnsi="宋体" w:eastAsia="宋体" w:cs="宋体"/>
          <w:color w:val="000000" w:themeColor="text1"/>
          <w:sz w:val="24"/>
          <w:szCs w:val="24"/>
          <w14:textFill>
            <w14:solidFill>
              <w14:schemeClr w14:val="tx1"/>
            </w14:solidFill>
          </w14:textFill>
        </w:rPr>
        <w:t>尚未结束的董事、高级管理人员，对因其擅自离职而致使公司造成的损失，应当承担赔偿责任。</w:t>
      </w:r>
    </w:p>
    <w:p w14:paraId="772E8EE0">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离职董事、高级管理人员因违反《公司法》等相关法律法规、规范性文件、《公司章程》及本制度的相关规定，给公司造成损失的，公司有权要求其承担相应的赔偿责任，涉及违法犯罪的将移送司法机关追究刑事责任。</w:t>
      </w:r>
    </w:p>
    <w:p w14:paraId="6E3471B9">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离职董事及高级管理人员应全力配合公司对履职期间重大事项的后续核查，不得拒绝提供必要文件及说明。</w:t>
      </w:r>
    </w:p>
    <w:p w14:paraId="352169D8">
      <w:pPr>
        <w:pStyle w:val="2"/>
        <w:keepNext w:val="0"/>
        <w:keepLines w:val="0"/>
        <w:pageBreakBefore w:val="0"/>
        <w:widowControl/>
        <w:suppressLineNumbers w:val="0"/>
        <w:kinsoku/>
        <w:wordWrap/>
        <w:overflowPunct/>
        <w:topLinePunct w:val="0"/>
        <w:autoSpaceDE/>
        <w:autoSpaceDN/>
        <w:bidi w:val="0"/>
        <w:adjustRightInd/>
        <w:snapToGrid/>
        <w:spacing w:before="120" w:beforeAutospacing="0" w:after="120" w:afterAutospacing="0" w:line="360" w:lineRule="auto"/>
        <w:ind w:left="0" w:firstLine="0"/>
        <w:jc w:val="center"/>
        <w:textAlignment w:val="auto"/>
        <w:outlineLvl w:val="0"/>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第</w:t>
      </w:r>
      <w:r>
        <w:rPr>
          <w:rFonts w:hint="eastAsia" w:ascii="宋体" w:hAnsi="宋体" w:eastAsia="宋体" w:cs="宋体"/>
          <w:b/>
          <w:bCs/>
          <w:color w:val="000000" w:themeColor="text1"/>
          <w:sz w:val="28"/>
          <w:szCs w:val="28"/>
          <w:lang w:val="en-US" w:eastAsia="zh-CN"/>
          <w14:textFill>
            <w14:solidFill>
              <w14:schemeClr w14:val="tx1"/>
            </w14:solidFill>
          </w14:textFill>
        </w:rPr>
        <w:t>五</w:t>
      </w:r>
      <w:r>
        <w:rPr>
          <w:rFonts w:hint="eastAsia" w:ascii="宋体" w:hAnsi="宋体" w:eastAsia="宋体" w:cs="宋体"/>
          <w:b/>
          <w:bCs/>
          <w:color w:val="000000" w:themeColor="text1"/>
          <w:sz w:val="28"/>
          <w:szCs w:val="28"/>
          <w14:textFill>
            <w14:solidFill>
              <w14:schemeClr w14:val="tx1"/>
            </w14:solidFill>
          </w14:textFill>
        </w:rPr>
        <w:t>章</w:t>
      </w:r>
      <w:r>
        <w:rPr>
          <w:rFonts w:hint="eastAsia" w:ascii="宋体" w:hAnsi="宋体" w:eastAsia="宋体" w:cs="宋体"/>
          <w:b/>
          <w:bCs/>
          <w:color w:val="000000" w:themeColor="text1"/>
          <w:sz w:val="28"/>
          <w:szCs w:val="28"/>
          <w:lang w:eastAsia="zh-CN"/>
          <w14:textFill>
            <w14:solidFill>
              <w14:schemeClr w14:val="tx1"/>
            </w14:solidFill>
          </w14:textFill>
        </w:rPr>
        <w:t xml:space="preserve"> </w:t>
      </w:r>
      <w:r>
        <w:rPr>
          <w:rFonts w:hint="eastAsia" w:ascii="宋体" w:hAnsi="宋体" w:eastAsia="宋体" w:cs="宋体"/>
          <w:b/>
          <w:bCs/>
          <w:color w:val="000000" w:themeColor="text1"/>
          <w:sz w:val="28"/>
          <w:szCs w:val="28"/>
          <w14:textFill>
            <w14:solidFill>
              <w14:schemeClr w14:val="tx1"/>
            </w14:solidFill>
          </w14:textFill>
        </w:rPr>
        <w:t>附则</w:t>
      </w:r>
    </w:p>
    <w:p w14:paraId="66C05C02">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本制度未尽事宜，</w:t>
      </w:r>
      <w:r>
        <w:rPr>
          <w:rFonts w:hint="eastAsia" w:ascii="宋体" w:hAnsi="宋体"/>
          <w:sz w:val="24"/>
        </w:rPr>
        <w:t>按国家有关法律法规、规范性文件及《公司章程》等有关规定执行。</w:t>
      </w:r>
    </w:p>
    <w:p w14:paraId="518E046C">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left="0" w:leftChars="0"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本制度自公司董事会审议通过</w:t>
      </w:r>
      <w:r>
        <w:rPr>
          <w:rFonts w:hint="eastAsia" w:ascii="宋体" w:hAnsi="宋体" w:eastAsia="宋体" w:cs="宋体"/>
          <w:color w:val="000000" w:themeColor="text1"/>
          <w:sz w:val="24"/>
          <w:szCs w:val="24"/>
          <w:lang w:val="en-US" w:eastAsia="zh-CN"/>
          <w14:textFill>
            <w14:solidFill>
              <w14:schemeClr w14:val="tx1"/>
            </w14:solidFill>
          </w14:textFill>
        </w:rPr>
        <w:t>后</w:t>
      </w:r>
      <w:r>
        <w:rPr>
          <w:rFonts w:hint="eastAsia" w:ascii="宋体" w:hAnsi="宋体" w:eastAsia="宋体" w:cs="宋体"/>
          <w:color w:val="000000" w:themeColor="text1"/>
          <w:sz w:val="24"/>
          <w:szCs w:val="24"/>
          <w14:textFill>
            <w14:solidFill>
              <w14:schemeClr w14:val="tx1"/>
            </w14:solidFill>
          </w14:textFill>
        </w:rPr>
        <w:t>生效。</w:t>
      </w:r>
    </w:p>
    <w:p w14:paraId="0456C448">
      <w:pPr>
        <w:pStyle w:val="2"/>
        <w:keepNext w:val="0"/>
        <w:keepLines w:val="0"/>
        <w:pageBreakBefore w:val="0"/>
        <w:widowControl/>
        <w:numPr>
          <w:ilvl w:val="0"/>
          <w:numId w:val="0"/>
        </w:numPr>
        <w:suppressLineNumbers w:val="0"/>
        <w:kinsoku/>
        <w:wordWrap/>
        <w:overflowPunct/>
        <w:topLinePunct w:val="0"/>
        <w:autoSpaceDE/>
        <w:autoSpaceDN/>
        <w:bidi w:val="0"/>
        <w:adjustRightInd/>
        <w:snapToGrid/>
        <w:spacing w:before="157" w:beforeLines="50" w:beforeAutospacing="0" w:after="157" w:afterLines="50" w:afterAutospacing="0" w:line="360" w:lineRule="auto"/>
        <w:ind w:right="0" w:rightChars="0"/>
        <w:textAlignment w:val="auto"/>
        <w:rPr>
          <w:rFonts w:hint="eastAsia" w:ascii="宋体" w:hAnsi="宋体" w:eastAsia="宋体" w:cs="宋体"/>
          <w:color w:val="000000" w:themeColor="text1"/>
          <w:sz w:val="24"/>
          <w:szCs w:val="24"/>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7641DC"/>
    <w:multiLevelType w:val="singleLevel"/>
    <w:tmpl w:val="1A7641DC"/>
    <w:lvl w:ilvl="0" w:tentative="0">
      <w:start w:val="1"/>
      <w:numFmt w:val="chineseCounting"/>
      <w:suff w:val="nothing"/>
      <w:lvlText w:val="第%1条 "/>
      <w:lvlJc w:val="left"/>
      <w:pPr>
        <w:ind w:left="0" w:firstLine="420"/>
      </w:pPr>
      <w:rPr>
        <w:rFonts w:hint="eastAsia"/>
        <w:b/>
        <w:bCs/>
        <w:sz w:val="24"/>
        <w:szCs w:val="24"/>
      </w:rPr>
    </w:lvl>
  </w:abstractNum>
  <w:abstractNum w:abstractNumId="1">
    <w:nsid w:val="62F490E3"/>
    <w:multiLevelType w:val="singleLevel"/>
    <w:tmpl w:val="62F490E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0N2YwMTc3ODRlNTkxYzJiZTEzZTRiMDZkNGI1NDMifQ=="/>
    <w:docVar w:name="KSO_WPS_MARK_KEY" w:val="941a3c98-8099-4be8-b0cb-4d6d23a9319e"/>
  </w:docVars>
  <w:rsids>
    <w:rsidRoot w:val="5B4A3D42"/>
    <w:rsid w:val="028E4F47"/>
    <w:rsid w:val="029E00A5"/>
    <w:rsid w:val="068201D8"/>
    <w:rsid w:val="075F5E39"/>
    <w:rsid w:val="0FC36003"/>
    <w:rsid w:val="10647972"/>
    <w:rsid w:val="19473D6A"/>
    <w:rsid w:val="30AD7559"/>
    <w:rsid w:val="351C7AAF"/>
    <w:rsid w:val="44204BEF"/>
    <w:rsid w:val="49FD01CC"/>
    <w:rsid w:val="5B4A3D42"/>
    <w:rsid w:val="6B055CE7"/>
    <w:rsid w:val="7A1D73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2142</Words>
  <Characters>2145</Characters>
  <Lines>0</Lines>
  <Paragraphs>0</Paragraphs>
  <TotalTime>8</TotalTime>
  <ScaleCrop>false</ScaleCrop>
  <LinksUpToDate>false</LinksUpToDate>
  <CharactersWithSpaces>2150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2025-04-29T06:19:00Z</dcterms:created>
  <dc:creator>艾琴</dc:creator>
  <cp:lastModifiedBy>李群</cp:lastModifiedBy>
  <dcterms:modified xsi:type="dcterms:W3CDTF">2025-06-23T05:35:29Z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541D85B254F144299A9DD1ED5DC9A824_11</vt:lpwstr>
  </property>
  <property fmtid="{D5CDD505-2E9C-101B-9397-08002B2CF9AE}" pid="4" name="KSOTemplateDocerSaveRecord">
    <vt:lpwstr>eyJoZGlkIjoiYWRlOTk1ZDM4MjkzZjgxMjZiN2M3ZjNmNDQ5NGIzZGYiLCJ1c2VySWQiOiIzNDI3ODI2OTEifQ==</vt:lpwstr>
  </property>
</Properties>
</file>